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5</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6</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8</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10</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12</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15</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16</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17</w:t>
      </w:r>
      <w:r/>
      <w:r/>
      <w:r w:rsidR="4BF58BAE">
        <w:rPr/>
      </w:r>
      <w:r/>
      <w:r/>
      <w:r/>
      <w:r/>
      <w:r w:rsidR="4BF58BAE">
        <w:rPr/>
      </w:r>
      <w:r/>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Слика 4.1. Архитектура система пре надоградње ................................ 8</w:t>
      </w:r>
    </w:p>
    <w:p xmlns:wp14="http://schemas.microsoft.com/office/word/2010/wordml" w14:paraId="1EB21F04" wp14:textId="77777777">
      <w:pPr>
        <w:pStyle w:val="BodyText"/>
      </w:pPr>
      <w:r>
        <w:t>Слика 5.1. TO-BE архитектура — додат observability слој ....................... 10</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12</w:t>
      </w:r>
    </w:p>
    <w:p xmlns:wp14="http://schemas.microsoft.com/office/word/2010/wordml" w14:paraId="301065E6" wp14:textId="77777777">
      <w:pPr>
        <w:pStyle w:val="BodyText"/>
      </w:pPr>
      <w:r>
        <w:t>Табела 6.2. Поређење система пре и после надоградње ........................... 14</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w:pPr>
        <w:pStyle w:val="BodyText"/>
      </w:pPr>
      <w:r>
        <w:t>TO-BE ("to be" — стање које треба да буде) означава циљну архитектуру система НАКОН надоградње описане у овом раду, за разлику од AS-IS архитектуре (поглавље 4), која описује стање ПРЕ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pPr>
      <w:r>
        <w:t>[ПОПУНИ: убацити слику 5.2 — screenshot Grafana dashboard-а „Travel Planner - Overview” dok je sistem pokrenut, sa vidljivim RED metrikama, resursima i log stream panelom.]</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14:paraId="00A92C83" w14:textId="77777777">
      <w:pPr>
        <w:pStyle w:val="Naslov1nivo"/>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Naslov2nivo"/>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14:paraId="0DEF02D8" w14:textId="77777777">
      <w:pPr>
        <w:pStyle w:val="Naslov2nivo"/>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14:paraId="284CFE08" w14:textId="77777777">
      <w:pPr>
        <w:pStyle w:val="Naslov2nivo"/>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14:paraId="5B503566" w14:textId="77777777">
      <w:pPr>
        <w:pStyle w:val="Naslov2nivo"/>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