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 xml:space="preserve">7 поглавља / </w:t>
            </w:r>
            <w:r w:rsidRPr="4BF58BAE" w:rsidR="36D4B2C3">
              <w:rPr>
                <w:rFonts w:ascii="Arial" w:hAnsi="Arial"/>
                <w:color w:val="auto"/>
                <w:sz w:val="18"/>
                <w:szCs w:val="18"/>
                <w:lang w:val="sr-Cyrl-RS"/>
              </w:rPr>
              <w:t>21</w:t>
            </w:r>
            <w:r w:rsidRPr="4BF58BAE" w:rsidR="2D9381F1">
              <w:rPr>
                <w:rFonts w:ascii="Arial" w:hAnsi="Arial"/>
                <w:color w:val="auto"/>
                <w:sz w:val="18"/>
                <w:szCs w:val="18"/>
                <w:lang w:val="sr-Cyrl-RS"/>
              </w:rPr>
              <w:t xml:space="preserve"> страна / 12 цитата / 2 табеле / 12 слика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 xml:space="preserve">7 chapters / </w:t>
            </w:r>
            <w:r w:rsidRPr="4BF58BAE" w:rsidR="4959F779">
              <w:rPr>
                <w:rFonts w:ascii="Arial" w:hAnsi="Arial"/>
                <w:color w:val="auto"/>
                <w:sz w:val="18"/>
                <w:szCs w:val="18"/>
              </w:rPr>
              <w:t>21</w:t>
            </w:r>
            <w:r w:rsidRPr="4BF58BAE" w:rsidR="476C80F7">
              <w:rPr>
                <w:rFonts w:ascii="Arial" w:hAnsi="Arial"/>
                <w:color w:val="auto"/>
                <w:sz w:val="18"/>
                <w:szCs w:val="18"/>
              </w:rPr>
              <w:t xml:space="preserve"> pages / 12 references / 2 tables / 12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Heading2"/>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4.1. Изглед Travel Planner апликације — преглед планова путовања .................. 8</w:t>
      </w:r>
    </w:p>
    <w:p>
      <w:pPr>
        <w:pStyle w:val="BodyText"/>
      </w:pPr>
      <w:r>
        <w:t>Слика 4.2. Дељење плана путовања путем кода/QR кода ............................................... 9</w:t>
      </w:r>
    </w:p>
    <w:p>
      <w:pPr>
        <w:pStyle w:val="BodyText"/>
      </w:pPr>
      <w:r>
        <w:t>Слика 4.3. Архитектура система пре надоградње .................................................... 10</w:t>
      </w:r>
    </w:p>
    <w:p>
      <w:pPr>
        <w:pStyle w:val="BodyText"/>
      </w:pPr>
      <w:r>
        <w:t>Слика 4.4.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Неуспешан тест након намерног враћања „тихог” catch блока ................... 15</w:t>
      </w:r>
    </w:p>
    <w:p>
      <w:pPr>
        <w:pStyle w:val="BodyText"/>
      </w:pPr>
      <w:r>
        <w:t>Слика 6.3.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Heading2"/>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Heading2"/>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Heading2"/>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Heading2"/>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Heading2"/>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Heading2"/>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[3] (stateless сервиси за Gateway/AuthService/TripService, stateful за SharingService), уз Entity Framework Core 8 за приступ подацима, YARP (Yet Another Reverse Proxy) [4]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Heading2"/>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[1],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Heading2"/>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[9].</w:t>
      </w:r>
    </w:p>
    <w:p xmlns:wp14="http://schemas.microsoft.com/office/word/2010/wordml" w14:paraId="580B9652" wp14:textId="77777777">
      <w:pPr>
        <w:pStyle w:val="Heading2"/>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[8] за метрике (Collector излаже Prometheus-компатибилан /metrics endpoint који Prometheus периодично scrape-ује), Grafana Tempo [5] за дистрибуирано праћење захтева (trace-ове), и Grafana Loki [6]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Heading2"/>
      </w:pPr>
      <w:r>
        <w:t>Grafana</w:t>
      </w:r>
    </w:p>
    <w:p xmlns:wp14="http://schemas.microsoft.com/office/word/2010/wordml" w14:paraId="1310283D" wp14:textId="77777777">
      <w:pPr>
        <w:pStyle w:val="BodyText"/>
      </w:pPr>
      <w:r>
        <w:t>Grafana [10]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Heading2"/>
      </w:pPr>
      <w:r>
        <w:t>Health checks</w:t>
      </w:r>
    </w:p>
    <w:p xmlns:wp14="http://schemas.microsoft.com/office/word/2010/wordml" w14:paraId="7B49BB76" wp14:textId="77777777">
      <w:pPr>
        <w:pStyle w:val="BodyText"/>
      </w:pPr>
      <w:r>
        <w:t>Коришћен је уграђен ASP.NET Core механизам (Microsoft.Extensions.Diagnostics.HealthChecks) [2],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Heading2"/>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[7],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Heading2"/>
      </w:pPr>
      <w:r>
        <w:t>xUnit</w:t>
      </w:r>
    </w:p>
    <w:p xmlns:wp14="http://schemas.microsoft.com/office/word/2010/wordml" w14:paraId="29EA8A73" wp14:textId="77777777">
      <w:pPr>
        <w:pStyle w:val="BodyText"/>
      </w:pPr>
      <w:r>
        <w:t>За аутоматизовано тестирање (поглавље 6) коришћен је xUnit [11],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Heading2"/>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[12],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w:pPr>
        <w:pStyle w:val="BodyText"/>
      </w:pPr>
      <w:r>
        <w:t>Слика 4.1 приказује изглед корисничког интерфејса апликације у тренутку почетка овог рада — списак планова путовања корисника.</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4.1. Изглед Travel Planner апликације — преглед планова путовања</w:t>
      </w:r>
    </w:p>
    <w:p xmlns:wp14="http://schemas.microsoft.com/office/word/2010/wordml" w14:paraId="41A63D3A" wp14:textId="77777777">
      <w:pPr>
        <w:pStyle w:val="Heading2"/>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4.2. Дељење плана путовања путем кода/QR кода</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4.3.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4.4.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Heading2"/>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Heading2"/>
      </w:pPr>
      <w:r>
        <w:t>TO-BE архитектура</w:t>
      </w:r>
    </w:p>
    <w:p>
      <w:pPr>
        <w:pStyle w:val="BodyText"/>
      </w:pPr>
      <w:r>
        <w:t xml:space="preserve">TO-BE ("to be" — стање које треба да буде) означава циљну архитектуру система </w:t>
      </w:r>
      <w:r>
        <w:rPr/>
        <w:t>након</w:t>
      </w:r>
      <w:r>
        <w:t xml:space="preserve"> надоградње описане у овом раду, за разлику од AS-IS архитектуре (поглавље 4), која описује стање </w:t>
      </w:r>
      <w:r>
        <w:rPr/>
        <w:t>пре</w:t>
      </w:r>
      <w:r>
        <w:t xml:space="preserve">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Heading2"/>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Heading2"/>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Heading2"/>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Heading2"/>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Heading2"/>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Heading2"/>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pPr>
        <w:pStyle w:val="Heading2"/>
      </w:pPr>
      <w:r>
        <w:t>Демонстрација неуспешног теста</w:t>
      </w:r>
    </w:p>
    <w:p>
      <w:pPr>
        <w:pStyle w:val="BodyText"/>
      </w:pPr>
      <w:r>
        <w:t>Да би се показало да аутоматизовани тестови стварно проверавају понашање кода, а не само тривијално пролазе, намерно је привремено враћен оригинални „тихи” catch блок у AuthService/Services/TripClient.cs, методи DeleteUserTripsAsync — уклоњен је позив _logger.LogWarning(...) у грани која обрађује неуспешан HTTP позив ка TripService-у, чиме је метода враћена у стање пре овог рада (грешка се и даље хвата, али без иједног трага у логу). Након ове измене, покретање TripClientTests пројекта у Visual Studio Test Explorer-у резултовало је тачно једним неуспешним тестом (FAILED) — управо оним који проверава да неуспешан HTTP статус производи LogWarning позив; преостала два теста из истог пројекта (успешан позив, мрежни изузетак) остала су непромењена и даље су пролазила. Након поновног враћања LogWarning позива, сви тестови су поново прошли (21/21, Табела 6.1, Слика 6.1).</w:t>
      </w:r>
    </w:p>
    <w:p>
      <w:pPr>
        <w:jc w:val="center"/>
      </w:pPr>
      <w:r>
        <w:drawing>
          <wp:inline>
            <wp:extent cx="5040000" cy="1690417"/>
            <wp:docPr id="18" name="Picture 18"/>
            <wp:cNvGraphicFramePr>
              <a:graphicFrameLocks noChangeAspect="1"/>
            </wp:cNvGraphicFramePr>
            <a:graphic>
              <a:graphicData uri="http://schemas.openxmlformats.org/drawingml/2006/picture">
                <pic:pic>
                  <pic:nvPicPr>
                    <pic:cNvPr id="0" name="faild.png"/>
                    <pic:cNvPicPr/>
                  </pic:nvPicPr>
                  <pic:blipFill>
                    <a:blip r:embed="rId44"/>
                    <a:stretch>
                      <a:fillRect/>
                    </a:stretch>
                  </pic:blipFill>
                  <pic:spPr>
                    <a:xfrm>
                      <a:off x="0" y="0"/>
                      <a:ext cx="5040000" cy="1690417"/>
                    </a:xfrm>
                    <a:prstGeom prst="rect"/>
                  </pic:spPr>
                </pic:pic>
              </a:graphicData>
            </a:graphic>
          </wp:inline>
        </w:drawing>
      </w:r>
    </w:p>
    <w:p>
      <w:pPr>
        <w:pStyle w:val="Slika"/>
      </w:pPr>
      <w:r>
        <w:t>Слика 6.2. Неуспешан тест након намерног враћања „тихог” catch блока</w:t>
      </w:r>
    </w:p>
    <w:p w14:paraId="00A92C83" w14:textId="77777777">
      <w:pPr>
        <w:pStyle w:val="Heading2"/>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Heading3"/>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6.3. Лог захтева из Сценарија 1 у Grafana Loki-ју, повезан са trace-ом (Слика 5.4)</w:t>
      </w:r>
    </w:p>
    <w:p w14:paraId="0DEF02D8" w14:textId="77777777">
      <w:pPr>
        <w:pStyle w:val="Heading3"/>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Heading3"/>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Heading3"/>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Heading2"/>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54D627B4" wp14:textId="77777777">
      <w:pPr>
        <w:pStyle w:val="literatura"/>
      </w:pPr>
      <w:r>
        <w:t>[1]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[2]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[3]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[4]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[5] Grafana Labs, "Grafana Tempo documentation." grafana.com. https://grafana.com/docs/tempo/latest/ (приступљено: септембар 2026).</w:t>
      </w:r>
    </w:p>
    <w:p xmlns:wp14="http://schemas.microsoft.com/office/word/2010/wordml" w14:paraId="4F6A2D35" wp14:textId="77777777">
      <w:pPr>
        <w:pStyle w:val="literatura"/>
      </w:pPr>
      <w:r>
        <w:t>[6] Grafana Labs, "Grafana Loki documentation." grafana.com. https://grafana.com/docs/loki/latest/ (приступљено: септембар 2026).</w:t>
      </w:r>
    </w:p>
    <w:p xmlns:wp14="http://schemas.microsoft.com/office/word/2010/wordml" w14:paraId="344B9BA4" wp14:textId="77777777">
      <w:pPr>
        <w:pStyle w:val="literatura"/>
      </w:pPr>
      <w:r>
        <w:t>[7] Grafana Labs, "Grafana k6 documentation." grafana.com. https://grafana.com/docs/k6/latest/ (приступљено: септембар 2026).</w:t>
      </w:r>
    </w:p>
    <w:p xmlns:wp14="http://schemas.microsoft.com/office/word/2010/wordml" w14:paraId="766B3B81" wp14:textId="77777777">
      <w:pPr>
        <w:pStyle w:val="literatura"/>
      </w:pPr>
      <w:r>
        <w:t>[8]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[9] The OpenTelemetry Collector Authors, "OpenTelemetry Collector documentation." opentelemetry.io. https://opentelemetry.io/docs/collector/ (приступљено: септембар 2026).</w:t>
      </w:r>
    </w:p>
    <w:p>
      <w:pPr>
        <w:pStyle w:val="literatura"/>
      </w:pPr>
      <w:r>
        <w:t>[10] Grafana Labs, "Grafana documentation." grafana.com. https://grafana.com/docs/grafana/latest/ (приступљено: септембар 2026).</w:t>
      </w:r>
    </w:p>
    <w:p>
      <w:pPr>
        <w:pStyle w:val="literatura"/>
      </w:pPr>
      <w:r>
        <w:t>[11] .NET Foundation, "xUnit.net documentation." xunit.net. https://xunit.net/docs/getting-started/netcore/cmdline (приступљено: септембар 2026).</w:t>
      </w:r>
    </w:p>
    <w:p>
      <w:pPr>
        <w:pStyle w:val="literatura"/>
      </w:pPr>
      <w:r>
        <w:t>[12]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keepNext/>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keepNext/>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