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E8BC" w14:textId="77777777" w:rsidR="001C14F2" w:rsidRDefault="00000000">
      <w:pPr>
        <w:pStyle w:val="Title"/>
      </w:pPr>
      <w:r>
        <w:t>Trust Infrastructure / Escrow Platform Concept</w:t>
      </w:r>
    </w:p>
    <w:p w14:paraId="1047387C" w14:textId="77777777" w:rsidR="001C14F2" w:rsidRDefault="00000000">
      <w:pPr>
        <w:rPr>
          <w:rFonts w:hint="eastAsia"/>
        </w:rPr>
      </w:pPr>
      <w:r>
        <w:t>Concept development, product strategy, validation roadmap, and long-term vision</w:t>
      </w:r>
    </w:p>
    <w:p w14:paraId="174EABC4" w14:textId="77777777" w:rsidR="001C14F2" w:rsidRDefault="00000000">
      <w:pPr>
        <w:pStyle w:val="Heading1"/>
      </w:pPr>
      <w:r>
        <w:t>1. The Core Idea</w:t>
      </w:r>
    </w:p>
    <w:p w14:paraId="402049F5" w14:textId="77777777" w:rsidR="001C14F2" w:rsidRDefault="00000000">
      <w:pPr>
        <w:rPr>
          <w:rFonts w:hint="eastAsia"/>
        </w:rPr>
      </w:pPr>
      <w:r>
        <w:t>As developing economies rapidly embrace online markets where buyers meet sellers, a major barrier remains: trust. Buyers may fear paying sellers who might not deliver, while sellers may fear shipping products to buyers who may not complete payment. There are also malicious actors who deliberately impersonate legitimate buyers or sellers to defraud the other party.</w:t>
      </w:r>
    </w:p>
    <w:p w14:paraId="31C207FB" w14:textId="77777777" w:rsidR="001C14F2" w:rsidRDefault="00000000">
      <w:pPr>
        <w:rPr>
          <w:rFonts w:hint="eastAsia"/>
        </w:rPr>
      </w:pPr>
      <w:r>
        <w:t>The proposed escrow platform introduces a trusted third party into the transaction. The buyer's payment is held securely until the agreed conditions of the transaction are satisfied, after which the funds are released to the seller.</w:t>
      </w:r>
    </w:p>
    <w:p w14:paraId="7BB90910" w14:textId="77777777" w:rsidR="001C14F2" w:rsidRDefault="00000000">
      <w:pPr>
        <w:rPr>
          <w:rFonts w:hint="eastAsia"/>
        </w:rPr>
      </w:pPr>
      <w:r>
        <w:t>The deeper opportunity is larger than simply building an escrow service. The company can become a trust infrastructure provider—a platform that gives people and businesses confidence to transact with parties they may not personally know.</w:t>
      </w:r>
    </w:p>
    <w:p w14:paraId="049DA5B3" w14:textId="77777777" w:rsidR="001C14F2" w:rsidRDefault="00000000">
      <w:pPr>
        <w:pStyle w:val="Heading1"/>
      </w:pPr>
      <w:r>
        <w:t>2. The Problem Being Solved</w:t>
      </w:r>
    </w:p>
    <w:p w14:paraId="2EEA734F" w14:textId="77777777" w:rsidR="001C14F2" w:rsidRDefault="00000000" w:rsidP="0091149C">
      <w:pPr>
        <w:pStyle w:val="ListParagraph"/>
        <w:numPr>
          <w:ilvl w:val="0"/>
          <w:numId w:val="10"/>
        </w:numPr>
        <w:ind w:left="360"/>
        <w:rPr>
          <w:rFonts w:hint="eastAsia"/>
        </w:rPr>
      </w:pPr>
      <w:r>
        <w:t>Buyer does not trust seller: The buyer is afraid to pay in advance because the seller may disappear or fail to deliver.</w:t>
      </w:r>
    </w:p>
    <w:p w14:paraId="735668C6" w14:textId="77777777" w:rsidR="001C14F2" w:rsidRDefault="00000000" w:rsidP="0091149C">
      <w:pPr>
        <w:pStyle w:val="ListParagraph"/>
        <w:numPr>
          <w:ilvl w:val="0"/>
          <w:numId w:val="10"/>
        </w:numPr>
        <w:ind w:left="360"/>
        <w:rPr>
          <w:rFonts w:hint="eastAsia"/>
        </w:rPr>
      </w:pPr>
      <w:r>
        <w:t>Seller does not trust buyer: The seller is afraid to ship goods before receiving payment because the buyer may refuse to pay.</w:t>
      </w:r>
    </w:p>
    <w:p w14:paraId="54FE7448" w14:textId="77777777" w:rsidR="001C14F2" w:rsidRDefault="00000000" w:rsidP="0091149C">
      <w:pPr>
        <w:pStyle w:val="ListParagraph"/>
        <w:numPr>
          <w:ilvl w:val="0"/>
          <w:numId w:val="10"/>
        </w:numPr>
        <w:ind w:left="360"/>
        <w:rPr>
          <w:rFonts w:hint="eastAsia"/>
        </w:rPr>
      </w:pPr>
      <w:r>
        <w:t>Product quality dispute: The buyer receives something that is damaged, counterfeit, incomplete, or materially different from what was advertised.</w:t>
      </w:r>
    </w:p>
    <w:p w14:paraId="40BFCDD7" w14:textId="77777777" w:rsidR="001C14F2" w:rsidRDefault="00000000" w:rsidP="0091149C">
      <w:pPr>
        <w:pStyle w:val="ListParagraph"/>
        <w:numPr>
          <w:ilvl w:val="0"/>
          <w:numId w:val="10"/>
        </w:numPr>
        <w:ind w:left="360"/>
        <w:rPr>
          <w:rFonts w:hint="eastAsia"/>
        </w:rPr>
      </w:pPr>
      <w:r>
        <w:t>Delivery dispute: The seller claims the product was delivered while the buyer claims it was never received.</w:t>
      </w:r>
    </w:p>
    <w:p w14:paraId="19488939" w14:textId="77777777" w:rsidR="001C14F2" w:rsidRDefault="00000000">
      <w:pPr>
        <w:pStyle w:val="Heading1"/>
      </w:pPr>
      <w:r>
        <w:t>3. The Fundamental Insight</w:t>
      </w:r>
    </w:p>
    <w:p w14:paraId="0EC51A90" w14:textId="77777777" w:rsidR="001C14F2" w:rsidRDefault="00000000">
      <w:pPr>
        <w:rPr>
          <w:rFonts w:hint="eastAsia"/>
        </w:rPr>
      </w:pPr>
      <w:r>
        <w:t>The platform is not primarily selling payment processing. It is selling confidence to transact with strangers.</w:t>
      </w:r>
    </w:p>
    <w:p w14:paraId="3A98CB66" w14:textId="77777777" w:rsidR="001C14F2" w:rsidRDefault="00000000">
      <w:pPr>
        <w:rPr>
          <w:rFonts w:hint="eastAsia"/>
        </w:rPr>
      </w:pPr>
      <w:r>
        <w:t>Payment gateways answer the question: 'How can money move?' Escrow answers: 'When should the money move?' A mature trust platform answers an even broader question: 'How can two parties safely complete a transaction when neither fully trusts the other?'</w:t>
      </w:r>
    </w:p>
    <w:p w14:paraId="12BFCDAB" w14:textId="77777777" w:rsidR="001C14F2" w:rsidRDefault="00000000">
      <w:pPr>
        <w:pStyle w:val="Heading1"/>
      </w:pPr>
      <w:r>
        <w:lastRenderedPageBreak/>
        <w:t>4. Basic Customer Journey</w:t>
      </w:r>
    </w:p>
    <w:p w14:paraId="6341C2C8" w14:textId="3042F28C" w:rsidR="001C14F2" w:rsidRDefault="00000000">
      <w:pPr>
        <w:rPr>
          <w:rFonts w:hint="eastAsia"/>
        </w:rPr>
      </w:pPr>
      <w:r>
        <w:t xml:space="preserve">Seller advertises or agrees to sell a product → </w:t>
      </w:r>
      <w:r w:rsidR="00D24AA7">
        <w:tab/>
      </w:r>
      <w:r>
        <w:t>Buyer decides to purchase →</w:t>
      </w:r>
      <w:r w:rsidR="00D24AA7">
        <w:tab/>
      </w:r>
      <w:r>
        <w:t xml:space="preserve"> Buyer pays into escrow →</w:t>
      </w:r>
      <w:r w:rsidR="00D24AA7">
        <w:tab/>
      </w:r>
      <w:r>
        <w:t xml:space="preserve"> Funds are locked →</w:t>
      </w:r>
      <w:r w:rsidR="00D24AA7">
        <w:tab/>
      </w:r>
      <w:r>
        <w:t xml:space="preserve"> Seller is notified →</w:t>
      </w:r>
      <w:r w:rsidR="00D24AA7">
        <w:tab/>
      </w:r>
      <w:r>
        <w:t xml:space="preserve"> Seller ships or delivers →</w:t>
      </w:r>
      <w:r w:rsidR="00D24AA7">
        <w:tab/>
      </w:r>
      <w:r>
        <w:t xml:space="preserve"> Buyer receives the item →</w:t>
      </w:r>
      <w:r w:rsidR="00D24AA7">
        <w:tab/>
      </w:r>
      <w:r>
        <w:t xml:space="preserve"> Buyer confirms acceptance →</w:t>
      </w:r>
      <w:r w:rsidR="00D24AA7">
        <w:tab/>
      </w:r>
      <w:r>
        <w:t xml:space="preserve"> Escrow releases funds to seller →</w:t>
      </w:r>
      <w:r w:rsidR="00D24AA7">
        <w:tab/>
      </w:r>
      <w:r>
        <w:t xml:space="preserve"> Transaction is completed.</w:t>
      </w:r>
    </w:p>
    <w:p w14:paraId="6CDA4C31" w14:textId="77777777" w:rsidR="001C14F2" w:rsidRDefault="00000000">
      <w:pPr>
        <w:pStyle w:val="Heading1"/>
      </w:pPr>
      <w:r>
        <w:t>5. Important Transaction Scenarios</w:t>
      </w:r>
    </w:p>
    <w:p w14:paraId="0DA9F654" w14:textId="77777777" w:rsidR="001C14F2" w:rsidRDefault="00000000" w:rsidP="0091149C">
      <w:pPr>
        <w:pStyle w:val="ListParagraph"/>
        <w:numPr>
          <w:ilvl w:val="0"/>
          <w:numId w:val="11"/>
        </w:numPr>
        <w:ind w:left="360"/>
        <w:rPr>
          <w:rFonts w:hint="eastAsia"/>
        </w:rPr>
      </w:pPr>
      <w:r>
        <w:t>Buyer does not trust seller: The buyer wants the product but does not want to send money directly to an unknown seller.</w:t>
      </w:r>
    </w:p>
    <w:p w14:paraId="4C5BB82D" w14:textId="77777777" w:rsidR="001C14F2" w:rsidRDefault="00000000" w:rsidP="0091149C">
      <w:pPr>
        <w:pStyle w:val="ListParagraph"/>
        <w:numPr>
          <w:ilvl w:val="0"/>
          <w:numId w:val="11"/>
        </w:numPr>
        <w:ind w:left="360"/>
        <w:rPr>
          <w:rFonts w:hint="eastAsia"/>
        </w:rPr>
      </w:pPr>
      <w:r>
        <w:t>Seller does not trust buyer: The seller wants assurance that payment is secured before releasing or shipping the product.</w:t>
      </w:r>
    </w:p>
    <w:p w14:paraId="75B57102" w14:textId="77777777" w:rsidR="001C14F2" w:rsidRDefault="00000000" w:rsidP="0091149C">
      <w:pPr>
        <w:pStyle w:val="ListParagraph"/>
        <w:numPr>
          <w:ilvl w:val="0"/>
          <w:numId w:val="11"/>
        </w:numPr>
        <w:ind w:left="360"/>
        <w:rPr>
          <w:rFonts w:hint="eastAsia"/>
        </w:rPr>
      </w:pPr>
      <w:r>
        <w:t>Product quality dispute: The buyer claims the item is not as advertised, while the seller claims it is correct.</w:t>
      </w:r>
    </w:p>
    <w:p w14:paraId="4CBD51B0" w14:textId="77777777" w:rsidR="001C14F2" w:rsidRDefault="00000000" w:rsidP="0091149C">
      <w:pPr>
        <w:pStyle w:val="ListParagraph"/>
        <w:numPr>
          <w:ilvl w:val="0"/>
          <w:numId w:val="11"/>
        </w:numPr>
        <w:ind w:left="360"/>
        <w:rPr>
          <w:rFonts w:hint="eastAsia"/>
        </w:rPr>
      </w:pPr>
      <w:r>
        <w:t>Delivery dispute: The seller claims delivery occurred, while the buyer claims the item was never received.</w:t>
      </w:r>
    </w:p>
    <w:p w14:paraId="15F39F70" w14:textId="77777777" w:rsidR="001C14F2" w:rsidRDefault="00000000">
      <w:pPr>
        <w:pStyle w:val="Heading1"/>
      </w:pPr>
      <w:r>
        <w:t>6. Edge Cases the Platform Must Handle</w:t>
      </w:r>
    </w:p>
    <w:p w14:paraId="3E383EA4" w14:textId="77777777" w:rsidR="001C14F2" w:rsidRDefault="00000000" w:rsidP="0091149C">
      <w:pPr>
        <w:pStyle w:val="ListParagraph"/>
        <w:numPr>
          <w:ilvl w:val="0"/>
          <w:numId w:val="12"/>
        </w:numPr>
        <w:ind w:left="360"/>
        <w:rPr>
          <w:rFonts w:hint="eastAsia"/>
        </w:rPr>
      </w:pPr>
      <w:r>
        <w:t>Buyer disappears after delivery: The buyer may receive the item but never confirm the transaction. The system should use an inspection period and automatically release funds after the deadline if no dispute is raised.</w:t>
      </w:r>
    </w:p>
    <w:p w14:paraId="0EC7E0D7" w14:textId="77777777" w:rsidR="001C14F2" w:rsidRDefault="00000000" w:rsidP="0091149C">
      <w:pPr>
        <w:pStyle w:val="ListParagraph"/>
        <w:numPr>
          <w:ilvl w:val="0"/>
          <w:numId w:val="12"/>
        </w:numPr>
        <w:ind w:left="360"/>
        <w:rPr>
          <w:rFonts w:hint="eastAsia"/>
        </w:rPr>
      </w:pPr>
      <w:r>
        <w:t>Buyer falsely claims non-delivery: Use courier tracking, proof of delivery, OTPs, signatures, GPS evidence, or delivery photographs where available.</w:t>
      </w:r>
    </w:p>
    <w:p w14:paraId="2509419E" w14:textId="77777777" w:rsidR="001C14F2" w:rsidRDefault="00000000" w:rsidP="0091149C">
      <w:pPr>
        <w:pStyle w:val="ListParagraph"/>
        <w:numPr>
          <w:ilvl w:val="0"/>
          <w:numId w:val="12"/>
        </w:numPr>
        <w:ind w:left="360"/>
        <w:rPr>
          <w:rFonts w:hint="eastAsia"/>
        </w:rPr>
      </w:pPr>
      <w:r>
        <w:t>Seller ships the wrong item or a fraudulent item: The buyer can open a dispute and provide photographs, videos, unboxing evidence, or other documentation. The platform investigates and determines the appropriate outcome.</w:t>
      </w:r>
    </w:p>
    <w:p w14:paraId="6F271600" w14:textId="77777777" w:rsidR="001C14F2" w:rsidRDefault="00000000" w:rsidP="0091149C">
      <w:pPr>
        <w:pStyle w:val="ListParagraph"/>
        <w:numPr>
          <w:ilvl w:val="0"/>
          <w:numId w:val="12"/>
        </w:numPr>
        <w:ind w:left="360"/>
        <w:rPr>
          <w:rFonts w:hint="eastAsia"/>
        </w:rPr>
      </w:pPr>
      <w:r>
        <w:t>Seller never ships: If the seller fails to ship within the agreed period, the transaction is cancelled and the buyer is refunded, subject to the platform's rules.</w:t>
      </w:r>
    </w:p>
    <w:p w14:paraId="4983E267" w14:textId="77777777" w:rsidR="001C14F2" w:rsidRDefault="00000000" w:rsidP="0091149C">
      <w:pPr>
        <w:pStyle w:val="ListParagraph"/>
        <w:numPr>
          <w:ilvl w:val="0"/>
          <w:numId w:val="12"/>
        </w:numPr>
        <w:ind w:left="360"/>
        <w:rPr>
          <w:rFonts w:hint="eastAsia"/>
        </w:rPr>
      </w:pPr>
      <w:r>
        <w:t>Courier loses or damages the package: The platform needs a defined risk-allocation policy and may integrate insurance or courier liability mechanisms.</w:t>
      </w:r>
    </w:p>
    <w:p w14:paraId="6391728A" w14:textId="77777777" w:rsidR="001C14F2" w:rsidRDefault="00000000">
      <w:pPr>
        <w:pStyle w:val="Heading1"/>
      </w:pPr>
      <w:r>
        <w:t>7. Transaction State Model</w:t>
      </w:r>
    </w:p>
    <w:p w14:paraId="5DE41244" w14:textId="77777777" w:rsidR="001C14F2" w:rsidRDefault="00000000">
      <w:pPr>
        <w:rPr>
          <w:rFonts w:hint="eastAsia"/>
        </w:rPr>
      </w:pPr>
      <w:r>
        <w:t>A transaction should be treated as a controlled state machine so that every transaction has a clear status and every possible transition is auditable.</w:t>
      </w:r>
    </w:p>
    <w:p w14:paraId="119D9765" w14:textId="77777777" w:rsidR="001C14F2" w:rsidRDefault="00000000">
      <w:pPr>
        <w:rPr>
          <w:rFonts w:hint="eastAsia"/>
        </w:rPr>
      </w:pPr>
      <w:r>
        <w:t>Primary states: Created → Awaiting Payment → Payment Received → Awaiting Shipment → Shipped → Delivered → Inspection Period → Completed.</w:t>
      </w:r>
    </w:p>
    <w:p w14:paraId="65C5A540" w14:textId="77777777" w:rsidR="001C14F2" w:rsidRDefault="00000000">
      <w:pPr>
        <w:rPr>
          <w:rFonts w:hint="eastAsia"/>
        </w:rPr>
      </w:pPr>
      <w:r>
        <w:t>Alternative states: Cancelled, Refunded, Disputed, Expired, Chargeback, Under Investigation.</w:t>
      </w:r>
    </w:p>
    <w:p w14:paraId="6A6184DA" w14:textId="77777777" w:rsidR="001C14F2" w:rsidRDefault="00000000">
      <w:pPr>
        <w:pStyle w:val="Heading1"/>
      </w:pPr>
      <w:r>
        <w:lastRenderedPageBreak/>
        <w:t>8. Potential Revenue Streams</w:t>
      </w:r>
    </w:p>
    <w:p w14:paraId="3A32A205" w14:textId="77777777" w:rsidR="001C14F2" w:rsidRDefault="00000000">
      <w:pPr>
        <w:rPr>
          <w:rFonts w:hint="eastAsia"/>
        </w:rPr>
      </w:pPr>
      <w:r>
        <w:t>Transaction fees: Percentage or flat fee charged per successful transaction.</w:t>
      </w:r>
    </w:p>
    <w:p w14:paraId="437E7933" w14:textId="77777777" w:rsidR="001C14F2" w:rsidRDefault="00000000">
      <w:pPr>
        <w:rPr>
          <w:rFonts w:hint="eastAsia"/>
        </w:rPr>
      </w:pPr>
      <w:r>
        <w:t>Verification fees: Charges for identity, business, address, or enhanced verification.</w:t>
      </w:r>
    </w:p>
    <w:p w14:paraId="65FC7C22" w14:textId="77777777" w:rsidR="001C14F2" w:rsidRDefault="00000000">
      <w:pPr>
        <w:rPr>
          <w:rFonts w:hint="eastAsia"/>
        </w:rPr>
      </w:pPr>
      <w:r>
        <w:t>Buyer protection: Optional paid protection or insurance for buyers.</w:t>
      </w:r>
    </w:p>
    <w:p w14:paraId="2232FFB1" w14:textId="77777777" w:rsidR="001C14F2" w:rsidRDefault="00000000">
      <w:pPr>
        <w:rPr>
          <w:rFonts w:hint="eastAsia"/>
        </w:rPr>
      </w:pPr>
      <w:r>
        <w:t>Seller protection: Protection against fraudulent buyers and certain transaction risks.</w:t>
      </w:r>
    </w:p>
    <w:p w14:paraId="1987ECE4" w14:textId="77777777" w:rsidR="001C14F2" w:rsidRDefault="00000000">
      <w:pPr>
        <w:rPr>
          <w:rFonts w:hint="eastAsia"/>
        </w:rPr>
      </w:pPr>
      <w:r>
        <w:t>API access: Fees or usage-based pricing for businesses integrating escrow into their platforms.</w:t>
      </w:r>
    </w:p>
    <w:p w14:paraId="0E97942A" w14:textId="77777777" w:rsidR="001C14F2" w:rsidRDefault="00000000">
      <w:pPr>
        <w:rPr>
          <w:rFonts w:hint="eastAsia"/>
        </w:rPr>
      </w:pPr>
      <w:r>
        <w:t>White-label escrow: A branded escrow service offered to banks, marketplaces, real estate companies, dealerships, and other businesses.</w:t>
      </w:r>
    </w:p>
    <w:p w14:paraId="681BBE9C" w14:textId="77777777" w:rsidR="001C14F2" w:rsidRDefault="00000000">
      <w:pPr>
        <w:pStyle w:val="Heading1"/>
      </w:pPr>
      <w:r>
        <w:t>9. Product Architecture: Three Possible Products</w:t>
      </w:r>
    </w:p>
    <w:p w14:paraId="0B6C5F16" w14:textId="77777777" w:rsidR="001C14F2" w:rsidRDefault="00000000">
      <w:pPr>
        <w:rPr>
          <w:rFonts w:hint="eastAsia"/>
        </w:rPr>
      </w:pPr>
      <w:r>
        <w:t>Escrow App — Individuals: One-off or recurring person-to-person escrow transactions.</w:t>
      </w:r>
    </w:p>
    <w:p w14:paraId="57887E7F" w14:textId="77777777" w:rsidR="001C14F2" w:rsidRDefault="00000000">
      <w:pPr>
        <w:rPr>
          <w:rFonts w:hint="eastAsia"/>
        </w:rPr>
      </w:pPr>
      <w:r>
        <w:t>Escrow API — E-commerce platforms and marketplaces: Businesses integrate escrow into their own checkout and transaction flows.</w:t>
      </w:r>
    </w:p>
    <w:p w14:paraId="2A69AE1F" w14:textId="77777777" w:rsidR="001C14F2" w:rsidRDefault="00000000">
      <w:pPr>
        <w:rPr>
          <w:rFonts w:hint="eastAsia"/>
        </w:rPr>
      </w:pPr>
      <w:r>
        <w:t>Escrow Marketplace — Buyers and sellers: A complete marketplace where transactions are protected by escrow.</w:t>
      </w:r>
    </w:p>
    <w:p w14:paraId="3349A8E3" w14:textId="77777777" w:rsidR="001C14F2" w:rsidRDefault="00000000">
      <w:pPr>
        <w:pStyle w:val="Heading1"/>
      </w:pPr>
      <w:r>
        <w:t>10. Markets Beyond E-commerce</w:t>
      </w:r>
    </w:p>
    <w:p w14:paraId="2BE0ED33" w14:textId="77777777" w:rsidR="001C14F2" w:rsidRDefault="00000000">
      <w:pPr>
        <w:rPr>
          <w:rFonts w:hint="eastAsia"/>
        </w:rPr>
      </w:pPr>
      <w:r>
        <w:t>Freelancing: Client funds are held until a freelancer completes agreed work.</w:t>
      </w:r>
    </w:p>
    <w:p w14:paraId="6EF8841B" w14:textId="77777777" w:rsidR="001C14F2" w:rsidRDefault="00000000">
      <w:pPr>
        <w:rPr>
          <w:rFonts w:hint="eastAsia"/>
        </w:rPr>
      </w:pPr>
      <w:r>
        <w:t>Real Estate: Deposits or payments can be held until contractual conditions are met.</w:t>
      </w:r>
    </w:p>
    <w:p w14:paraId="4EF1040E" w14:textId="77777777" w:rsidR="001C14F2" w:rsidRDefault="00000000">
      <w:pPr>
        <w:rPr>
          <w:rFonts w:hint="eastAsia"/>
        </w:rPr>
      </w:pPr>
      <w:r>
        <w:t>Vehicle Sales: Funds are released after ownership transfer and required verification.</w:t>
      </w:r>
    </w:p>
    <w:p w14:paraId="0F357DDB" w14:textId="77777777" w:rsidR="001C14F2" w:rsidRDefault="00000000">
      <w:pPr>
        <w:rPr>
          <w:rFonts w:hint="eastAsia"/>
        </w:rPr>
      </w:pPr>
      <w:r>
        <w:t>Construction: Milestone-based payments can be released as project stages are completed.</w:t>
      </w:r>
    </w:p>
    <w:p w14:paraId="1229FC33" w14:textId="77777777" w:rsidR="001C14F2" w:rsidRDefault="00000000">
      <w:pPr>
        <w:rPr>
          <w:rFonts w:hint="eastAsia"/>
        </w:rPr>
      </w:pPr>
      <w:r>
        <w:t>Import and Export: Payment can be released after shipment arrival, inspection, and documentation.</w:t>
      </w:r>
    </w:p>
    <w:p w14:paraId="6FBCE87F" w14:textId="77777777" w:rsidR="001C14F2" w:rsidRDefault="00000000">
      <w:pPr>
        <w:rPr>
          <w:rFonts w:hint="eastAsia"/>
        </w:rPr>
      </w:pPr>
      <w:r>
        <w:t>Digital Products and Assets: Website, domain, software, or other digital asset transfers can be coordinated with payment.</w:t>
      </w:r>
    </w:p>
    <w:p w14:paraId="3D304447" w14:textId="77777777" w:rsidR="001C14F2" w:rsidRDefault="00000000">
      <w:pPr>
        <w:rPr>
          <w:rFonts w:hint="eastAsia"/>
        </w:rPr>
      </w:pPr>
      <w:r>
        <w:t>Event Tickets: Payment can be released after ticket validity is verified.</w:t>
      </w:r>
    </w:p>
    <w:p w14:paraId="7FB8203F" w14:textId="77777777" w:rsidR="001C14F2" w:rsidRDefault="00000000">
      <w:pPr>
        <w:rPr>
          <w:rFonts w:hint="eastAsia"/>
        </w:rPr>
      </w:pPr>
      <w:r>
        <w:t>Crypto and Stablecoins: The model may eventually extend to blockchain-based escrow where legally and operationally appropriate.</w:t>
      </w:r>
    </w:p>
    <w:p w14:paraId="55BA0387" w14:textId="77777777" w:rsidR="001C14F2" w:rsidRDefault="00000000">
      <w:pPr>
        <w:pStyle w:val="Heading1"/>
      </w:pPr>
      <w:r>
        <w:lastRenderedPageBreak/>
        <w:t>11. The Minimum Viable Product</w:t>
      </w:r>
    </w:p>
    <w:p w14:paraId="5C262895" w14:textId="77777777" w:rsidR="001C14F2" w:rsidRDefault="00000000">
      <w:pPr>
        <w:rPr>
          <w:rFonts w:hint="eastAsia"/>
        </w:rPr>
      </w:pPr>
      <w:r>
        <w:t>The first product should not be a marketplace. It should be a simple escrow transaction manager that validates whether people are willing to pay for trusted transactions.</w:t>
      </w:r>
    </w:p>
    <w:p w14:paraId="3EEFD477" w14:textId="77777777" w:rsidR="001C14F2" w:rsidRDefault="00000000">
      <w:pPr>
        <w:rPr>
          <w:rFonts w:hint="eastAsia"/>
        </w:rPr>
      </w:pPr>
      <w:r>
        <w:t>Workflow: Seller creates a transaction → Buyer receives a secure transaction link → Buyer pays into escrow → Funds are held → Seller is notified and ships or delivers → Buyer confirms receipt and acceptance → Funds are released to seller.</w:t>
      </w:r>
    </w:p>
    <w:p w14:paraId="11B6A822" w14:textId="77777777" w:rsidR="001C14F2" w:rsidRDefault="00000000">
      <w:pPr>
        <w:rPr>
          <w:rFonts w:hint="eastAsia"/>
        </w:rPr>
      </w:pPr>
      <w:r>
        <w:t>The MVP should avoid unnecessary complexity such as a full marketplace, advanced social features, or extensive logistics infrastructure. The goal is to validate the core trust mechanism.</w:t>
      </w:r>
    </w:p>
    <w:p w14:paraId="275CDE18" w14:textId="77777777" w:rsidR="001C14F2" w:rsidRDefault="00000000">
      <w:pPr>
        <w:pStyle w:val="Heading1"/>
      </w:pPr>
      <w:r>
        <w:t>12. The Development Roadmap</w:t>
      </w:r>
    </w:p>
    <w:p w14:paraId="30C10BF9" w14:textId="77777777" w:rsidR="001C14F2" w:rsidRDefault="00000000">
      <w:pPr>
        <w:rPr>
          <w:rFonts w:hint="eastAsia"/>
        </w:rPr>
      </w:pPr>
      <w:r>
        <w:t>Stage -1: Trust Canvas — Map every participant, asset, trust assumption, failure mode, risk owner, evidence requirement, and dispute decision. This becomes the blueprint for product rules, compliance, database design, APIs, and operational policies.</w:t>
      </w:r>
    </w:p>
    <w:p w14:paraId="78F50D58" w14:textId="77777777" w:rsidR="001C14F2" w:rsidRDefault="00000000">
      <w:pPr>
        <w:rPr>
          <w:rFonts w:hint="eastAsia"/>
        </w:rPr>
      </w:pPr>
      <w:r>
        <w:t>Stage 0: Validate the Problem — Create a landing page and manually facilitate transactions without building a full software platform. Target indicators: 100 signups, 30 completed transactions, 80% satisfaction, and meaningful referrals or repeat demand.</w:t>
      </w:r>
    </w:p>
    <w:p w14:paraId="6C0DEA84" w14:textId="77777777" w:rsidR="001C14F2" w:rsidRDefault="00000000">
      <w:pPr>
        <w:rPr>
          <w:rFonts w:hint="eastAsia"/>
        </w:rPr>
      </w:pPr>
      <w:r>
        <w:t>Stage 1: Minimum Viable Product — Build secure transaction creation, buyer payment, escrow holding workflow, seller notification, delivery confirmation, release, refund, and basic audit trail. Target indicators: 1,000 completed transactions, 90% completion rate, less than 3% fraud, less than 5% disputes, average release time under 7 days, and at least 25% repeat users.</w:t>
      </w:r>
    </w:p>
    <w:p w14:paraId="6CEACC67" w14:textId="77777777" w:rsidR="001C14F2" w:rsidRDefault="00000000">
      <w:pPr>
        <w:rPr>
          <w:rFonts w:hint="eastAsia"/>
        </w:rPr>
      </w:pPr>
      <w:r>
        <w:t>Stage 2: Trust Enhancement — Add identity verification, business verification, verified badges, ratings, reviews, transaction history, messaging, and notifications. Target indicators: 10,000 verified users, 5,000 monthly transactions, 40% repeat customers, and measurable reduction in fraud among verified users.</w:t>
      </w:r>
    </w:p>
    <w:p w14:paraId="06B06E67" w14:textId="77777777" w:rsidR="001C14F2" w:rsidRDefault="00000000">
      <w:pPr>
        <w:rPr>
          <w:rFonts w:hint="eastAsia"/>
        </w:rPr>
      </w:pPr>
      <w:r>
        <w:t>Stage 3: Logistics Integration — Integrate courier tracking, delivery confirmation, OTP delivery codes, digital signatures, and delivery evidence. Target indicators: 70% of transactions use tracked delivery, delivery disputes fall by at least 50%, automatic releases increase, and completion time decreases.</w:t>
      </w:r>
    </w:p>
    <w:p w14:paraId="398816F2" w14:textId="77777777" w:rsidR="001C14F2" w:rsidRDefault="00000000">
      <w:pPr>
        <w:rPr>
          <w:rFonts w:hint="eastAsia"/>
        </w:rPr>
      </w:pPr>
      <w:r>
        <w:t>Stage 4: Developer Platform — Launch APIs, SDKs, webhooks, hosted escrow checkout, and white-label dashboards. Target indicators: 10 active business integrations, strong B2B retention, and API transaction volume becoming a meaningful share of total transactions.</w:t>
      </w:r>
    </w:p>
    <w:p w14:paraId="34E51E3A" w14:textId="77777777" w:rsidR="001C14F2" w:rsidRDefault="00000000">
      <w:pPr>
        <w:rPr>
          <w:rFonts w:hint="eastAsia"/>
        </w:rPr>
      </w:pPr>
      <w:r>
        <w:t>Stage 5: Marketplace — Build a marketplace where buyers and sellers discover each other and escrow is embedded by default. Target indicators: sustained GMV growth, healthy buyer-seller balance, low dispute rates, and high repeat purchase rates.</w:t>
      </w:r>
    </w:p>
    <w:p w14:paraId="54C56884" w14:textId="77777777" w:rsidR="001C14F2" w:rsidRDefault="00000000">
      <w:pPr>
        <w:rPr>
          <w:rFonts w:hint="eastAsia"/>
        </w:rPr>
      </w:pPr>
      <w:r>
        <w:t xml:space="preserve">Stage 6: Trust Infrastructure — Expand into milestone payments, vehicles, real estate, construction, digital assets, B2B procurement, international trade, insurance, fraud detection, </w:t>
      </w:r>
      <w:r>
        <w:lastRenderedPageBreak/>
        <w:t>trust scores, digital contracts, and identity verification. Success is measured by diversified transaction volume, recurring B2B revenue, low fraud, strong trust outcomes, and adoption across multiple transaction categories.</w:t>
      </w:r>
    </w:p>
    <w:p w14:paraId="34477ACD" w14:textId="77777777" w:rsidR="001C14F2" w:rsidRDefault="00000000">
      <w:pPr>
        <w:pStyle w:val="Heading1"/>
      </w:pPr>
      <w:r>
        <w:t>13. The Validation Principle</w:t>
      </w:r>
    </w:p>
    <w:p w14:paraId="353EE510" w14:textId="77777777" w:rsidR="001C14F2" w:rsidRDefault="00000000">
      <w:pPr>
        <w:rPr>
          <w:rFonts w:hint="eastAsia"/>
        </w:rPr>
      </w:pPr>
      <w:r>
        <w:t>Each increment should be unlocked by evidence rather than ambition. The product should move from manual operations to software, from software to verification, from verification to logistics, from logistics to APIs, and finally from infrastructure to a marketplace and broader trust platform.</w:t>
      </w:r>
    </w:p>
    <w:p w14:paraId="48E66171" w14:textId="77777777" w:rsidR="001C14F2" w:rsidRDefault="00000000">
      <w:pPr>
        <w:rPr>
          <w:rFonts w:hint="eastAsia"/>
        </w:rPr>
      </w:pPr>
      <w:r>
        <w:t>The key question at every stage is not 'What feature should we build next?' but 'What uncertainty must we resolve before we invest in the next level of complexity?'</w:t>
      </w:r>
    </w:p>
    <w:p w14:paraId="49350298" w14:textId="77777777" w:rsidR="001C14F2" w:rsidRDefault="00000000">
      <w:pPr>
        <w:pStyle w:val="Heading1"/>
      </w:pPr>
      <w:r>
        <w:t>14. Strategic Positioning</w:t>
      </w:r>
    </w:p>
    <w:p w14:paraId="11B15332" w14:textId="77777777" w:rsidR="001C14F2" w:rsidRDefault="00000000">
      <w:pPr>
        <w:rPr>
          <w:rFonts w:hint="eastAsia"/>
        </w:rPr>
      </w:pPr>
      <w:r>
        <w:t>Rather than positioning the company purely as an escrow company, consider positioning it as a Trust-as-a-Service platform. Escrow is the first capability. Over time, the platform can provide identity verification, business verification, reputation, dispute resolution, shipment verification, transaction insurance, digital contracts, milestone payments, and escrow APIs.</w:t>
      </w:r>
    </w:p>
    <w:p w14:paraId="5AD14DB3" w14:textId="77777777" w:rsidR="001C14F2" w:rsidRDefault="00000000">
      <w:pPr>
        <w:rPr>
          <w:rFonts w:hint="eastAsia"/>
        </w:rPr>
      </w:pPr>
      <w:r>
        <w:t>This creates room to expand beyond online shopping into services, property, vehicles, freelance work, B2B commerce, and other transactions where trust is a barrier.</w:t>
      </w:r>
    </w:p>
    <w:p w14:paraId="2A9EB022" w14:textId="77777777" w:rsidR="001C14F2" w:rsidRDefault="00000000">
      <w:pPr>
        <w:pStyle w:val="Heading1"/>
      </w:pPr>
      <w:r>
        <w:t>15. Long-Term Vision</w:t>
      </w:r>
    </w:p>
    <w:p w14:paraId="24D7D59B" w14:textId="77777777" w:rsidR="001C14F2" w:rsidRDefault="00000000">
      <w:pPr>
        <w:rPr>
          <w:rFonts w:hint="eastAsia"/>
        </w:rPr>
      </w:pPr>
      <w:r>
        <w:t>The ultimate vision is to become a trusted transaction layer for digital commerce. The company would not simply hold money. It would coordinate the conditions under which money, goods, services, identities, and contractual obligations can safely move between parties.</w:t>
      </w:r>
    </w:p>
    <w:p w14:paraId="072A5934" w14:textId="77777777" w:rsidR="001C14F2" w:rsidRDefault="00000000">
      <w:pPr>
        <w:rPr>
          <w:rFonts w:hint="eastAsia"/>
        </w:rPr>
      </w:pPr>
      <w:r>
        <w:t>Strategic evolution: Escrow transaction tool → Trusted transaction platform → Identity and reputation layer → Logistics and evidence layer → Escrow API and infrastructure → Trusted marketplace → Trust infrastructure across industries.</w:t>
      </w:r>
    </w:p>
    <w:p w14:paraId="7EACD4B6" w14:textId="77777777" w:rsidR="001C14F2" w:rsidRDefault="00000000">
      <w:pPr>
        <w:pStyle w:val="Heading1"/>
      </w:pPr>
      <w:r>
        <w:t>16. Important Legal and Regulatory Considerations</w:t>
      </w:r>
    </w:p>
    <w:p w14:paraId="47694C7E" w14:textId="77777777" w:rsidR="001C14F2" w:rsidRDefault="00000000">
      <w:pPr>
        <w:rPr>
          <w:rFonts w:hint="eastAsia"/>
        </w:rPr>
      </w:pPr>
      <w:r>
        <w:t>Holding customer funds can trigger financial regulation depending on the jurisdiction. The business may need licenses or regulated partners for payment services, money transmission, electronic money, or related activities. KYC and AML obligations may also apply.</w:t>
      </w:r>
    </w:p>
    <w:p w14:paraId="2DA859B6" w14:textId="77777777" w:rsidR="001C14F2" w:rsidRDefault="00000000">
      <w:pPr>
        <w:rPr>
          <w:rFonts w:hint="eastAsia"/>
        </w:rPr>
      </w:pPr>
      <w:r>
        <w:t>A practical early strategy may be to partner with a licensed payment provider, bank, or regulated financial institution so that customer funds are handled through an appropriate regulated structure while the startup focuses on transaction orchestration, trust workflows, evidence, dispute resolution, and user experience.</w:t>
      </w:r>
    </w:p>
    <w:p w14:paraId="2E867016" w14:textId="77777777" w:rsidR="001C14F2" w:rsidRDefault="00000000">
      <w:pPr>
        <w:rPr>
          <w:rFonts w:hint="eastAsia"/>
        </w:rPr>
      </w:pPr>
      <w:r>
        <w:lastRenderedPageBreak/>
        <w:t>The exact structure should be reviewed with qualified legal and regulatory advisers in each market before launch.</w:t>
      </w:r>
    </w:p>
    <w:p w14:paraId="7686D514" w14:textId="77777777" w:rsidR="001C14F2" w:rsidRDefault="00000000">
      <w:pPr>
        <w:pStyle w:val="Heading1"/>
      </w:pPr>
      <w:r>
        <w:t>17. Recommended Next Step</w:t>
      </w:r>
    </w:p>
    <w:p w14:paraId="2DA95F58" w14:textId="77777777" w:rsidR="001C14F2" w:rsidRDefault="00000000">
      <w:pPr>
        <w:rPr>
          <w:rFonts w:hint="eastAsia"/>
        </w:rPr>
      </w:pPr>
      <w:r>
        <w:t>The next major design exercise should be the Trust Canvas. It should document every participant, transaction type, asset, trust assumption, failure mode, evidence source, risk owner, decision-maker, and resolution path.</w:t>
      </w:r>
    </w:p>
    <w:p w14:paraId="55BB8F34" w14:textId="77777777" w:rsidR="001C14F2" w:rsidRDefault="00000000">
      <w:pPr>
        <w:rPr>
          <w:rFonts w:hint="eastAsia"/>
        </w:rPr>
      </w:pPr>
      <w:r>
        <w:t>From that Trust Canvas, the next artifacts should be derived: the MVP user journeys, transaction state machine, business rules, database model, dispute-resolution framework, payment architecture, API design, and initial operating procedures.</w:t>
      </w:r>
    </w:p>
    <w:sectPr w:rsidR="001C14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6903B0"/>
    <w:multiLevelType w:val="hybridMultilevel"/>
    <w:tmpl w:val="617A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1D6FAC"/>
    <w:multiLevelType w:val="hybridMultilevel"/>
    <w:tmpl w:val="C754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475EC6"/>
    <w:multiLevelType w:val="hybridMultilevel"/>
    <w:tmpl w:val="18D4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115567">
    <w:abstractNumId w:val="8"/>
  </w:num>
  <w:num w:numId="2" w16cid:durableId="463932958">
    <w:abstractNumId w:val="6"/>
  </w:num>
  <w:num w:numId="3" w16cid:durableId="1048722130">
    <w:abstractNumId w:val="5"/>
  </w:num>
  <w:num w:numId="4" w16cid:durableId="777331840">
    <w:abstractNumId w:val="4"/>
  </w:num>
  <w:num w:numId="5" w16cid:durableId="1632058275">
    <w:abstractNumId w:val="7"/>
  </w:num>
  <w:num w:numId="6" w16cid:durableId="1065958857">
    <w:abstractNumId w:val="3"/>
  </w:num>
  <w:num w:numId="7" w16cid:durableId="1981302236">
    <w:abstractNumId w:val="2"/>
  </w:num>
  <w:num w:numId="8" w16cid:durableId="1995984079">
    <w:abstractNumId w:val="1"/>
  </w:num>
  <w:num w:numId="9" w16cid:durableId="1469934286">
    <w:abstractNumId w:val="0"/>
  </w:num>
  <w:num w:numId="10" w16cid:durableId="1391229932">
    <w:abstractNumId w:val="11"/>
  </w:num>
  <w:num w:numId="11" w16cid:durableId="726685986">
    <w:abstractNumId w:val="9"/>
  </w:num>
  <w:num w:numId="12" w16cid:durableId="1440679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4F2"/>
    <w:rsid w:val="0029639D"/>
    <w:rsid w:val="00326F90"/>
    <w:rsid w:val="006A3FA8"/>
    <w:rsid w:val="007F17C1"/>
    <w:rsid w:val="0091149C"/>
    <w:rsid w:val="00AA1D8D"/>
    <w:rsid w:val="00B47730"/>
    <w:rsid w:val="00CB0664"/>
    <w:rsid w:val="00D24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47880"/>
  <w14:defaultImageDpi w14:val="300"/>
  <w15:docId w15:val="{2FEBDC8C-05F2-4886-A8A9-072D91E08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1742</Words>
  <Characters>9933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deedadey</cp:lastModifiedBy>
  <cp:revision>2</cp:revision>
  <cp:lastPrinted>2026-07-23T11:24:00Z</cp:lastPrinted>
  <dcterms:created xsi:type="dcterms:W3CDTF">2013-12-23T23:15:00Z</dcterms:created>
  <dcterms:modified xsi:type="dcterms:W3CDTF">2026-07-23T11:26:00Z</dcterms:modified>
  <cp:category/>
</cp:coreProperties>
</file>