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FF6D1D"/>
          <w:sz w:val="22"/>
        </w:rPr>
        <w:t>HENDAXIS TRUST</w:t>
      </w:r>
    </w:p>
    <w:p>
      <w:pPr>
        <w:spacing w:before="0" w:after="120"/>
      </w:pPr>
      <w:r>
        <w:rPr>
          <w:rFonts w:ascii="Segoe UI" w:hAnsi="Segoe UI"/>
          <w:b/>
          <w:color w:val="0363FF"/>
          <w:sz w:val="40"/>
        </w:rPr>
        <w:t>HendAxis Trust: Terms of Service &amp; Master User Agreement</w:t>
      </w:r>
    </w:p>
    <w:p>
      <w:pPr>
        <w:spacing w:before="60" w:after="100" w:line="276" w:lineRule="auto"/>
      </w:pPr>
      <w:r>
        <w:rPr>
          <w:rFonts w:ascii="Segoe UI" w:hAnsi="Segoe UI"/>
          <w:b/>
          <w:color w:val="1E293B"/>
          <w:sz w:val="19"/>
        </w:rPr>
        <w:t>Last Updated</w:t>
      </w:r>
      <w:r>
        <w:rPr>
          <w:rFonts w:ascii="Segoe UI" w:hAnsi="Segoe UI"/>
          <w:b w:val="0"/>
          <w:color w:val="1E293B"/>
          <w:sz w:val="19"/>
        </w:rPr>
        <w:t>: October 10, 2026</w:t>
      </w:r>
    </w:p>
    <w:p>
      <w:pPr>
        <w:spacing w:before="60" w:after="100" w:line="276" w:lineRule="auto"/>
      </w:pPr>
      <w:r>
        <w:rPr>
          <w:rFonts w:ascii="Segoe UI" w:hAnsi="Segoe UI"/>
          <w:b/>
          <w:color w:val="1E293B"/>
          <w:sz w:val="19"/>
        </w:rPr>
        <w:t>Effective Date</w:t>
      </w:r>
      <w:r>
        <w:rPr>
          <w:rFonts w:ascii="Segoe UI" w:hAnsi="Segoe UI"/>
          <w:b w:val="0"/>
          <w:color w:val="1E293B"/>
          <w:sz w:val="19"/>
        </w:rPr>
        <w:t>: Immediate upon account creation, payment link creation, or transaction initialization.</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1. Introduction &amp; Acceptance of Terms</w:t>
      </w:r>
    </w:p>
    <w:p>
      <w:pPr>
        <w:spacing w:before="60" w:after="100" w:line="276" w:lineRule="auto"/>
      </w:pPr>
      <w:r>
        <w:rPr>
          <w:rFonts w:ascii="Segoe UI" w:hAnsi="Segoe UI"/>
          <w:b w:val="0"/>
          <w:color w:val="1E293B"/>
          <w:sz w:val="19"/>
        </w:rPr>
        <w:t xml:space="preserve">Welcome to </w:t>
      </w:r>
      <w:r>
        <w:rPr>
          <w:rFonts w:ascii="Segoe UI" w:hAnsi="Segoe UI"/>
          <w:b/>
          <w:color w:val="1E293B"/>
          <w:sz w:val="19"/>
        </w:rPr>
        <w:t>HendAxis Trust</w:t>
      </w:r>
      <w:r>
        <w:rPr>
          <w:rFonts w:ascii="Segoe UI" w:hAnsi="Segoe UI"/>
          <w:b w:val="0"/>
          <w:color w:val="1E293B"/>
          <w:sz w:val="19"/>
        </w:rPr>
        <w:t xml:space="preserve"> (referred to herein as </w:t>
      </w:r>
      <w:r>
        <w:rPr>
          <w:rFonts w:ascii="Segoe UI" w:hAnsi="Segoe UI"/>
          <w:i/>
          <w:color w:val="1E293B"/>
          <w:sz w:val="19"/>
        </w:rPr>
        <w:t>"HendAxis Trust"</w:t>
      </w:r>
      <w:r>
        <w:rPr>
          <w:rFonts w:ascii="Segoe UI" w:hAnsi="Segoe UI"/>
          <w:b w:val="0"/>
          <w:color w:val="1E293B"/>
          <w:sz w:val="19"/>
        </w:rPr>
        <w:t xml:space="preserve">, </w:t>
      </w:r>
      <w:r>
        <w:rPr>
          <w:rFonts w:ascii="Segoe UI" w:hAnsi="Segoe UI"/>
          <w:i/>
          <w:color w:val="1E293B"/>
          <w:sz w:val="19"/>
        </w:rPr>
        <w:t>"Platform"</w:t>
      </w:r>
      <w:r>
        <w:rPr>
          <w:rFonts w:ascii="Segoe UI" w:hAnsi="Segoe UI"/>
          <w:b w:val="0"/>
          <w:color w:val="1E293B"/>
          <w:sz w:val="19"/>
        </w:rPr>
        <w:t xml:space="preserve">, </w:t>
      </w:r>
      <w:r>
        <w:rPr>
          <w:rFonts w:ascii="Segoe UI" w:hAnsi="Segoe UI"/>
          <w:i/>
          <w:color w:val="1E293B"/>
          <w:sz w:val="19"/>
        </w:rPr>
        <w:t>"We"</w:t>
      </w:r>
      <w:r>
        <w:rPr>
          <w:rFonts w:ascii="Segoe UI" w:hAnsi="Segoe UI"/>
          <w:b w:val="0"/>
          <w:color w:val="1E293B"/>
          <w:sz w:val="19"/>
        </w:rPr>
        <w:t xml:space="preserve">, </w:t>
      </w:r>
      <w:r>
        <w:rPr>
          <w:rFonts w:ascii="Segoe UI" w:hAnsi="Segoe UI"/>
          <w:i/>
          <w:color w:val="1E293B"/>
          <w:sz w:val="19"/>
        </w:rPr>
        <w:t>"Us"</w:t>
      </w:r>
      <w:r>
        <w:rPr>
          <w:rFonts w:ascii="Segoe UI" w:hAnsi="Segoe UI"/>
          <w:b w:val="0"/>
          <w:color w:val="1E293B"/>
          <w:sz w:val="19"/>
        </w:rPr>
        <w:t xml:space="preserve">, or </w:t>
      </w:r>
      <w:r>
        <w:rPr>
          <w:rFonts w:ascii="Segoe UI" w:hAnsi="Segoe UI"/>
          <w:i/>
          <w:color w:val="1E293B"/>
          <w:sz w:val="19"/>
        </w:rPr>
        <w:t>"Our"</w:t>
      </w:r>
      <w:r>
        <w:rPr>
          <w:rFonts w:ascii="Segoe UI" w:hAnsi="Segoe UI"/>
          <w:b w:val="0"/>
          <w:color w:val="1E293B"/>
          <w:sz w:val="19"/>
        </w:rPr>
        <w:t xml:space="preserve">). HendAxis Trust operates an escrow-gated payment, merchant directory, logistics tracing, dispute arbitration, and buyer-seller protection platform designed to facilitate secure commerce between Buyers and Sellers (collectively referred to as </w:t>
      </w:r>
      <w:r>
        <w:rPr>
          <w:rFonts w:ascii="Segoe UI" w:hAnsi="Segoe UI"/>
          <w:i/>
          <w:color w:val="1E293B"/>
          <w:sz w:val="19"/>
        </w:rPr>
        <w:t>"Users"</w:t>
      </w:r>
      <w:r>
        <w:rPr>
          <w:rFonts w:ascii="Segoe UI" w:hAnsi="Segoe UI"/>
          <w:b w:val="0"/>
          <w:color w:val="1E293B"/>
          <w:sz w:val="19"/>
        </w:rPr>
        <w:t xml:space="preserve">, </w:t>
      </w:r>
      <w:r>
        <w:rPr>
          <w:rFonts w:ascii="Segoe UI" w:hAnsi="Segoe UI"/>
          <w:i/>
          <w:color w:val="1E293B"/>
          <w:sz w:val="19"/>
        </w:rPr>
        <w:t>"You"</w:t>
      </w:r>
      <w:r>
        <w:rPr>
          <w:rFonts w:ascii="Segoe UI" w:hAnsi="Segoe UI"/>
          <w:b w:val="0"/>
          <w:color w:val="1E293B"/>
          <w:sz w:val="19"/>
        </w:rPr>
        <w:t xml:space="preserve">, or </w:t>
      </w:r>
      <w:r>
        <w:rPr>
          <w:rFonts w:ascii="Segoe UI" w:hAnsi="Segoe UI"/>
          <w:i/>
          <w:color w:val="1E293B"/>
          <w:sz w:val="19"/>
        </w:rPr>
        <w:t>"Your"</w:t>
      </w:r>
      <w:r>
        <w:rPr>
          <w:rFonts w:ascii="Segoe UI" w:hAnsi="Segoe UI"/>
          <w:b w:val="0"/>
          <w:color w:val="1E293B"/>
          <w:sz w:val="19"/>
        </w:rPr>
        <w:t>).</w:t>
      </w:r>
    </w:p>
    <w:p>
      <w:pPr>
        <w:spacing w:before="60" w:after="100" w:line="276" w:lineRule="auto"/>
      </w:pPr>
      <w:r>
        <w:rPr>
          <w:rFonts w:ascii="Segoe UI" w:hAnsi="Segoe UI"/>
          <w:b w:val="0"/>
          <w:color w:val="1E293B"/>
          <w:sz w:val="19"/>
        </w:rPr>
        <w:t>By accessing or using HendAxis Trust (including visiting public storefronts, creating payment links, completing checkout, or registering an account), You explicitly agree to be bound by this Master User Agreement (</w:t>
      </w:r>
      <w:r>
        <w:rPr>
          <w:rFonts w:ascii="Segoe UI" w:hAnsi="Segoe UI"/>
          <w:i/>
          <w:color w:val="1E293B"/>
          <w:sz w:val="19"/>
        </w:rPr>
        <w:t>"Terms"</w:t>
      </w:r>
      <w:r>
        <w:rPr>
          <w:rFonts w:ascii="Segoe UI" w:hAnsi="Segoe UI"/>
          <w:b w:val="0"/>
          <w:color w:val="1E293B"/>
          <w:sz w:val="19"/>
        </w:rPr>
        <w:t xml:space="preserve">). </w:t>
      </w:r>
      <w:r>
        <w:rPr>
          <w:rFonts w:ascii="Segoe UI" w:hAnsi="Segoe UI"/>
          <w:b/>
          <w:color w:val="1E293B"/>
          <w:sz w:val="19"/>
        </w:rPr>
        <w:t>If You do not agree to all provisions contained herein, You must immediately cease all access and use of the Platform.</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2. Platform Role &amp; Limitation of Liability (Indemnification)</w:t>
      </w:r>
    </w:p>
    <w:p>
      <w:pPr>
        <w:keepNext/>
        <w:spacing w:before="200" w:after="60"/>
      </w:pPr>
      <w:r>
        <w:rPr>
          <w:rFonts w:ascii="Segoe UI" w:hAnsi="Segoe UI"/>
          <w:b/>
          <w:color w:val="0363FF"/>
          <w:sz w:val="21"/>
        </w:rPr>
        <w:t>2.1 Neutral Technology &amp; Escrow Facilitator</w:t>
      </w:r>
    </w:p>
    <w:p>
      <w:pPr>
        <w:spacing w:before="60" w:after="100" w:line="276" w:lineRule="auto"/>
      </w:pPr>
      <w:r>
        <w:rPr>
          <w:rFonts w:ascii="Segoe UI" w:hAnsi="Segoe UI"/>
          <w:b w:val="0"/>
          <w:color w:val="1E293B"/>
          <w:sz w:val="19"/>
        </w:rPr>
        <w:t xml:space="preserve">HendAxis Trust is a neutral financial technology software provider and escrow intermediary. HendAxis Trust </w:t>
      </w:r>
      <w:r>
        <w:rPr>
          <w:rFonts w:ascii="Segoe UI" w:hAnsi="Segoe UI"/>
          <w:b/>
          <w:color w:val="1E293B"/>
          <w:sz w:val="19"/>
        </w:rPr>
        <w:t>is not</w:t>
      </w:r>
      <w:r>
        <w:rPr>
          <w:rFonts w:ascii="Segoe UI" w:hAnsi="Segoe UI"/>
          <w:b w:val="0"/>
          <w:color w:val="1E293B"/>
          <w:sz w:val="19"/>
        </w:rPr>
        <w:t xml:space="preserve"> the manufacturer, seller, distributor, courier, owner, or insurer of any physical goods, digital assets, or services transacted through Payment Links or the Marketplace Directory.</w:t>
      </w:r>
    </w:p>
    <w:p>
      <w:pPr>
        <w:keepNext/>
        <w:spacing w:before="200" w:after="60"/>
      </w:pPr>
      <w:r>
        <w:rPr>
          <w:rFonts w:ascii="Segoe UI" w:hAnsi="Segoe UI"/>
          <w:b/>
          <w:color w:val="0363FF"/>
          <w:sz w:val="21"/>
        </w:rPr>
        <w:t>2.2 Disclaimer of Warranties</w:t>
      </w:r>
    </w:p>
    <w:p>
      <w:pPr>
        <w:spacing w:before="60" w:after="100" w:line="276" w:lineRule="auto"/>
      </w:pPr>
      <w:r>
        <w:rPr>
          <w:rFonts w:ascii="Segoe UI" w:hAnsi="Segoe UI"/>
          <w:b w:val="0"/>
          <w:color w:val="1E293B"/>
          <w:sz w:val="19"/>
        </w:rPr>
        <w:t xml:space="preserve">All services, escrow functionality, and transactions are provided on an </w:t>
      </w:r>
      <w:r>
        <w:rPr>
          <w:rFonts w:ascii="Segoe UI" w:hAnsi="Segoe UI"/>
          <w:b/>
          <w:color w:val="1E293B"/>
          <w:sz w:val="19"/>
        </w:rPr>
        <w:t>"AS IS"</w:t>
      </w:r>
      <w:r>
        <w:rPr>
          <w:rFonts w:ascii="Segoe UI" w:hAnsi="Segoe UI"/>
          <w:b w:val="0"/>
          <w:color w:val="1E293B"/>
          <w:sz w:val="19"/>
        </w:rPr>
        <w:t xml:space="preserve"> and </w:t>
      </w:r>
      <w:r>
        <w:rPr>
          <w:rFonts w:ascii="Segoe UI" w:hAnsi="Segoe UI"/>
          <w:b/>
          <w:color w:val="1E293B"/>
          <w:sz w:val="19"/>
        </w:rPr>
        <w:t>"AS AVAILABLE"</w:t>
      </w:r>
      <w:r>
        <w:rPr>
          <w:rFonts w:ascii="Segoe UI" w:hAnsi="Segoe UI"/>
          <w:b w:val="0"/>
          <w:color w:val="1E293B"/>
          <w:sz w:val="19"/>
        </w:rPr>
        <w:t xml:space="preserve"> basis. HendAxis Trust makes no representations or warranties, express or implied, regarding:</w:t>
      </w:r>
    </w:p>
    <w:p>
      <w:pPr>
        <w:pStyle w:val="ListBullet"/>
        <w:spacing w:before="40" w:after="60" w:line="276" w:lineRule="auto"/>
      </w:pPr>
      <w:r>
        <w:rPr>
          <w:rFonts w:ascii="Segoe UI" w:hAnsi="Segoe UI"/>
          <w:b w:val="0"/>
          <w:color w:val="1E293B"/>
          <w:sz w:val="19"/>
        </w:rPr>
        <w:t>The quality, safety, legality, merchantability, or fitness for a particular purpose of any items listed or sold by merchants.</w:t>
      </w:r>
    </w:p>
    <w:p>
      <w:pPr>
        <w:pStyle w:val="ListBullet"/>
        <w:spacing w:before="40" w:after="60" w:line="276" w:lineRule="auto"/>
      </w:pPr>
      <w:r>
        <w:rPr>
          <w:rFonts w:ascii="Segoe UI" w:hAnsi="Segoe UI"/>
          <w:b w:val="0"/>
          <w:color w:val="1E293B"/>
          <w:sz w:val="19"/>
        </w:rPr>
        <w:t>The punctuality, performance, or reliability of third-party courier services (such as DHL, Speedaf, FedEx, UPS, EMS, or independent station drivers).</w:t>
      </w:r>
    </w:p>
    <w:p>
      <w:pPr>
        <w:keepNext/>
        <w:spacing w:before="200" w:after="60"/>
      </w:pPr>
      <w:r>
        <w:rPr>
          <w:rFonts w:ascii="Segoe UI" w:hAnsi="Segoe UI"/>
          <w:b/>
          <w:color w:val="0363FF"/>
          <w:sz w:val="21"/>
        </w:rPr>
        <w:t>2.3 Comprehensive Platform Indemnification</w:t>
      </w:r>
    </w:p>
    <w:p>
      <w:pPr>
        <w:spacing w:before="60" w:after="100" w:line="276" w:lineRule="auto"/>
      </w:pPr>
      <w:r>
        <w:rPr>
          <w:rFonts w:ascii="Segoe UI" w:hAnsi="Segoe UI"/>
          <w:b w:val="0"/>
          <w:color w:val="1E293B"/>
          <w:sz w:val="19"/>
        </w:rPr>
        <w:t>You agree to defend, indemnify, and hold harmless HendAxis Trust, its parent company, subsidiaries, affiliates, officers, directors, employees, software engineers, and agents from and against any and all claims, liabilities, damages, losses, costs, penalties, or legal fees (including attorney fees) arising out of or related to:</w:t>
      </w:r>
    </w:p>
    <w:p>
      <w:pPr>
        <w:spacing w:before="40" w:after="60" w:line="276" w:lineRule="auto"/>
        <w:ind w:left="360"/>
      </w:pPr>
      <w:r>
        <w:rPr>
          <w:rFonts w:ascii="Segoe UI" w:hAnsi="Segoe UI"/>
          <w:b/>
          <w:color w:val="0F172A"/>
          <w:sz w:val="19"/>
        </w:rPr>
        <w:t xml:space="preserve">1. </w:t>
      </w:r>
      <w:r>
        <w:rPr>
          <w:rFonts w:ascii="Segoe UI" w:hAnsi="Segoe UI"/>
          <w:b w:val="0"/>
          <w:color w:val="1E293B"/>
          <w:sz w:val="19"/>
        </w:rPr>
        <w:t>Your breach of any provision of these Terms.</w:t>
      </w:r>
    </w:p>
    <w:p>
      <w:pPr>
        <w:spacing w:before="40" w:after="60" w:line="276" w:lineRule="auto"/>
        <w:ind w:left="360"/>
      </w:pPr>
      <w:r>
        <w:rPr>
          <w:rFonts w:ascii="Segoe UI" w:hAnsi="Segoe UI"/>
          <w:b/>
          <w:color w:val="0F172A"/>
          <w:sz w:val="19"/>
        </w:rPr>
        <w:t xml:space="preserve">2. </w:t>
      </w:r>
      <w:r>
        <w:rPr>
          <w:rFonts w:ascii="Segoe UI" w:hAnsi="Segoe UI"/>
          <w:b w:val="0"/>
          <w:color w:val="1E293B"/>
          <w:sz w:val="19"/>
        </w:rPr>
        <w:t>Product defects, counterfeit items, personal injury, property damage, or misrepresentations associated with goods sold or bought via the Platform.</w:t>
      </w:r>
    </w:p>
    <w:p>
      <w:pPr>
        <w:spacing w:before="40" w:after="60" w:line="276" w:lineRule="auto"/>
        <w:ind w:left="360"/>
      </w:pPr>
      <w:r>
        <w:rPr>
          <w:rFonts w:ascii="Segoe UI" w:hAnsi="Segoe UI"/>
          <w:b/>
          <w:color w:val="0F172A"/>
          <w:sz w:val="19"/>
        </w:rPr>
        <w:t xml:space="preserve">3. </w:t>
      </w:r>
      <w:r>
        <w:rPr>
          <w:rFonts w:ascii="Segoe UI" w:hAnsi="Segoe UI"/>
          <w:b w:val="0"/>
          <w:color w:val="1E293B"/>
          <w:sz w:val="19"/>
        </w:rPr>
        <w:t>Your violation of any third-party rights, including intellectual property, privacy, or consumer protection laws in Ghana or international jurisdictions.</w:t>
      </w:r>
    </w:p>
    <w:p>
      <w:pPr>
        <w:spacing w:before="40" w:after="60" w:line="276" w:lineRule="auto"/>
        <w:ind w:left="360"/>
      </w:pPr>
      <w:r>
        <w:rPr>
          <w:rFonts w:ascii="Segoe UI" w:hAnsi="Segoe UI"/>
          <w:b/>
          <w:color w:val="0F172A"/>
          <w:sz w:val="19"/>
        </w:rPr>
        <w:t xml:space="preserve">4. </w:t>
      </w:r>
      <w:r>
        <w:rPr>
          <w:rFonts w:ascii="Segoe UI" w:hAnsi="Segoe UI"/>
          <w:b w:val="0"/>
          <w:color w:val="1E293B"/>
          <w:sz w:val="19"/>
        </w:rPr>
        <w:t>Any failure by a Seller to package or ship items safely.</w:t>
      </w:r>
    </w:p>
    <w:p>
      <w:pPr>
        <w:spacing w:before="40" w:after="60" w:line="276" w:lineRule="auto"/>
        <w:ind w:left="360"/>
      </w:pPr>
      <w:r>
        <w:rPr>
          <w:rFonts w:ascii="Segoe UI" w:hAnsi="Segoe UI"/>
          <w:b/>
          <w:color w:val="0F172A"/>
          <w:sz w:val="19"/>
        </w:rPr>
        <w:t xml:space="preserve">5. </w:t>
      </w:r>
      <w:r>
        <w:rPr>
          <w:rFonts w:ascii="Segoe UI" w:hAnsi="Segoe UI"/>
          <w:b w:val="0"/>
          <w:color w:val="1E293B"/>
          <w:sz w:val="19"/>
        </w:rPr>
        <w:t>Any informal, offline, or unrecorded dispatch arrangements conducted outside of HendAxis Trust tracking systems.</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3. Pre-Transaction Due Diligence, Location-Based Shipping &amp; Direct Communication</w:t>
      </w:r>
    </w:p>
    <w:p>
      <w:pPr>
        <w:keepNext/>
        <w:spacing w:before="200" w:after="60"/>
      </w:pPr>
      <w:r>
        <w:rPr>
          <w:rFonts w:ascii="Segoe UI" w:hAnsi="Segoe UI"/>
          <w:b/>
          <w:color w:val="0363FF"/>
          <w:sz w:val="21"/>
        </w:rPr>
        <w:t>3.1 Requirement for Thorough Pre-Purchase Discussion</w:t>
      </w:r>
    </w:p>
    <w:p>
      <w:pPr>
        <w:spacing w:before="60" w:after="100" w:line="276" w:lineRule="auto"/>
      </w:pPr>
      <w:r>
        <w:rPr>
          <w:rFonts w:ascii="Segoe UI" w:hAnsi="Segoe UI"/>
          <w:b w:val="0"/>
          <w:color w:val="1E293B"/>
          <w:sz w:val="19"/>
        </w:rPr>
        <w:t xml:space="preserve">Before initiating an escrow transaction or sending payment, </w:t>
      </w:r>
      <w:r>
        <w:rPr>
          <w:rFonts w:ascii="Segoe UI" w:hAnsi="Segoe UI"/>
          <w:b/>
          <w:color w:val="1E293B"/>
          <w:sz w:val="19"/>
        </w:rPr>
        <w:t>Buyers and Sellers must thoroughly discuss and agree upon all relevant details</w:t>
      </w:r>
      <w:r>
        <w:rPr>
          <w:rFonts w:ascii="Segoe UI" w:hAnsi="Segoe UI"/>
          <w:b w:val="0"/>
          <w:color w:val="1E293B"/>
          <w:sz w:val="19"/>
        </w:rPr>
        <w:t>, including but not limited to:</w:t>
      </w:r>
    </w:p>
    <w:p>
      <w:pPr>
        <w:pStyle w:val="ListBullet"/>
        <w:spacing w:before="40" w:after="60" w:line="276" w:lineRule="auto"/>
      </w:pPr>
      <w:r>
        <w:rPr>
          <w:rFonts w:ascii="Segoe UI" w:hAnsi="Segoe UI"/>
          <w:b w:val="0"/>
          <w:color w:val="1E293B"/>
          <w:sz w:val="19"/>
        </w:rPr>
        <w:t>Precise item condition (brand new, pre-owned, refurbished, minor defects).</w:t>
      </w:r>
    </w:p>
    <w:p>
      <w:pPr>
        <w:pStyle w:val="ListBullet"/>
        <w:spacing w:before="40" w:after="60" w:line="276" w:lineRule="auto"/>
      </w:pPr>
      <w:r>
        <w:rPr>
          <w:rFonts w:ascii="Segoe UI" w:hAnsi="Segoe UI"/>
          <w:b w:val="0"/>
          <w:color w:val="1E293B"/>
          <w:sz w:val="19"/>
        </w:rPr>
        <w:t>Specific sizing, color, technical specifications, and model numbers.</w:t>
      </w:r>
    </w:p>
    <w:p>
      <w:pPr>
        <w:pStyle w:val="ListBullet"/>
        <w:spacing w:before="40" w:after="60" w:line="276" w:lineRule="auto"/>
      </w:pPr>
      <w:r>
        <w:rPr>
          <w:rFonts w:ascii="Segoe UI" w:hAnsi="Segoe UI"/>
          <w:b/>
          <w:color w:val="1E293B"/>
          <w:sz w:val="19"/>
        </w:rPr>
        <w:t>Location-Based Delivery Fees</w:t>
      </w:r>
      <w:r>
        <w:rPr>
          <w:rFonts w:ascii="Segoe UI" w:hAnsi="Segoe UI"/>
          <w:b w:val="0"/>
          <w:color w:val="1E293B"/>
          <w:sz w:val="19"/>
        </w:rPr>
        <w:t>: Shipping costs in Ghana vary substantially by regional destination, district, and chosen transport method (e.g. Courier or Bus station). Listed marketplace prices exclude destination-specific shipping. Buyers and sellers must agree on the final delivery fee prior to checkout.</w:t>
      </w:r>
    </w:p>
    <w:p>
      <w:pPr>
        <w:pStyle w:val="ListBullet"/>
        <w:spacing w:before="40" w:after="60" w:line="276" w:lineRule="auto"/>
      </w:pPr>
      <w:r>
        <w:rPr>
          <w:rFonts w:ascii="Segoe UI" w:hAnsi="Segoe UI"/>
          <w:b/>
          <w:color w:val="1E293B"/>
          <w:sz w:val="19"/>
        </w:rPr>
        <w:t>Inquiry &amp; Tailored Link Generation</w:t>
      </w:r>
      <w:r>
        <w:rPr>
          <w:rFonts w:ascii="Segoe UI" w:hAnsi="Segoe UI"/>
          <w:b w:val="0"/>
          <w:color w:val="1E293B"/>
          <w:sz w:val="19"/>
        </w:rPr>
        <w:t>: When buyers inquire on WhatsApp via marketplace product cards, prefilled product parameters are transmitted to the seller. The seller is required to confirm location-specific shipping and generate a customized payment link reflecting the agreed terms.</w:t>
      </w:r>
    </w:p>
    <w:p>
      <w:pPr>
        <w:spacing w:before="60" w:after="100" w:line="276" w:lineRule="auto"/>
      </w:pPr>
      <w:r>
        <w:rPr>
          <w:rFonts w:ascii="Segoe UI" w:hAnsi="Segoe UI"/>
          <w:b w:val="0"/>
          <w:color w:val="1E293B"/>
          <w:sz w:val="19"/>
        </w:rPr>
        <w:t>HendAxis Trust provides public merchant profile scorecards, verified ratings, and 16-category listings to assist Buyers, but the primary duty of item specification and delivery fee agreement rests between the transacting parties.</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4. Payment Links, Product Categorization, Escrow Holds &amp; Fee Policies</w:t>
      </w:r>
    </w:p>
    <w:p>
      <w:pPr>
        <w:keepNext/>
        <w:spacing w:before="200" w:after="60"/>
      </w:pPr>
      <w:r>
        <w:rPr>
          <w:rFonts w:ascii="Segoe UI" w:hAnsi="Segoe UI"/>
          <w:b/>
          <w:color w:val="0363FF"/>
          <w:sz w:val="21"/>
        </w:rPr>
        <w:t>4.1 Accurate Product Categorization</w:t>
      </w:r>
    </w:p>
    <w:p>
      <w:pPr>
        <w:spacing w:before="60" w:after="100" w:line="276" w:lineRule="auto"/>
      </w:pPr>
      <w:r>
        <w:rPr>
          <w:rFonts w:ascii="Segoe UI" w:hAnsi="Segoe UI"/>
          <w:b w:val="0"/>
          <w:color w:val="1E293B"/>
          <w:sz w:val="19"/>
        </w:rPr>
        <w:t xml:space="preserve">Sellers are required to select the accurate </w:t>
      </w:r>
      <w:r>
        <w:rPr>
          <w:rFonts w:ascii="Segoe UI" w:hAnsi="Segoe UI"/>
          <w:b/>
          <w:color w:val="1E293B"/>
          <w:sz w:val="19"/>
        </w:rPr>
        <w:t>Product Category</w:t>
      </w:r>
      <w:r>
        <w:rPr>
          <w:rFonts w:ascii="Segoe UI" w:hAnsi="Segoe UI"/>
          <w:b w:val="0"/>
          <w:color w:val="1E293B"/>
          <w:sz w:val="19"/>
        </w:rPr>
        <w:t xml:space="preserve"> (from the 16 platform categories) when generating payment links. Misrepresenting product categories to circumvent platform policies or mislead buyers constitutes a breach of these Terms.</w:t>
      </w:r>
    </w:p>
    <w:p>
      <w:pPr>
        <w:keepNext/>
        <w:spacing w:before="200" w:after="60"/>
      </w:pPr>
      <w:r>
        <w:rPr>
          <w:rFonts w:ascii="Segoe UI" w:hAnsi="Segoe UI"/>
          <w:b/>
          <w:color w:val="0363FF"/>
          <w:sz w:val="21"/>
        </w:rPr>
        <w:t>4.2 Escrow Deposits</w:t>
      </w:r>
    </w:p>
    <w:p>
      <w:pPr>
        <w:spacing w:before="60" w:after="100" w:line="276" w:lineRule="auto"/>
      </w:pPr>
      <w:r>
        <w:rPr>
          <w:rFonts w:ascii="Segoe UI" w:hAnsi="Segoe UI"/>
          <w:b w:val="0"/>
          <w:color w:val="1E293B"/>
          <w:sz w:val="19"/>
        </w:rPr>
        <w:t xml:space="preserve">Upon payment by the Buyer via Mobile Money (MTN, Telecel, AT Money) or Card, 100% of the funds (item price, shipping fees, and applicable platform charges) are deposited into the </w:t>
      </w:r>
      <w:r>
        <w:rPr>
          <w:rFonts w:ascii="Segoe UI" w:hAnsi="Segoe UI"/>
          <w:b/>
          <w:color w:val="1E293B"/>
          <w:sz w:val="19"/>
        </w:rPr>
        <w:t>HendAxis System Escrow Account</w:t>
      </w:r>
      <w:r>
        <w:rPr>
          <w:rFonts w:ascii="Segoe UI" w:hAnsi="Segoe UI"/>
          <w:b w:val="0"/>
          <w:color w:val="1E293B"/>
          <w:sz w:val="19"/>
        </w:rPr>
        <w:t>. Funds remain strictly locked and inaccessible to the Seller until delivery confirmation and inspection expiry.</w:t>
      </w:r>
    </w:p>
    <w:p>
      <w:pPr>
        <w:keepNext/>
        <w:spacing w:before="200" w:after="60"/>
      </w:pPr>
      <w:r>
        <w:rPr>
          <w:rFonts w:ascii="Segoe UI" w:hAnsi="Segoe UI"/>
          <w:b/>
          <w:color w:val="0363FF"/>
          <w:sz w:val="21"/>
        </w:rPr>
        <w:t>4.3 Fee Allocation Options</w:t>
      </w:r>
    </w:p>
    <w:p>
      <w:pPr>
        <w:spacing w:before="60" w:after="100" w:line="276" w:lineRule="auto"/>
      </w:pPr>
      <w:r>
        <w:rPr>
          <w:rFonts w:ascii="Segoe UI" w:hAnsi="Segoe UI"/>
          <w:b w:val="0"/>
          <w:color w:val="1E293B"/>
          <w:sz w:val="19"/>
        </w:rPr>
        <w:t>When creating a Payment Link, the Seller selects how platform fees are handled:</w:t>
      </w:r>
    </w:p>
    <w:p>
      <w:pPr>
        <w:pStyle w:val="ListBullet"/>
        <w:spacing w:before="40" w:after="60" w:line="276" w:lineRule="auto"/>
      </w:pPr>
      <w:r>
        <w:rPr>
          <w:rFonts w:ascii="Segoe UI" w:hAnsi="Segoe UI"/>
          <w:b/>
          <w:color w:val="1E293B"/>
          <w:sz w:val="19"/>
        </w:rPr>
        <w:t>Absorb Fee</w:t>
      </w:r>
      <w:r>
        <w:rPr>
          <w:rFonts w:ascii="Segoe UI" w:hAnsi="Segoe UI"/>
          <w:b w:val="0"/>
          <w:color w:val="1E293B"/>
          <w:sz w:val="19"/>
        </w:rPr>
        <w:t>: Platform fees are deducted from the Seller’s item price upon payout. The Buyer pays only the exact item + shipping cost.</w:t>
      </w:r>
    </w:p>
    <w:p>
      <w:pPr>
        <w:pStyle w:val="ListBullet"/>
        <w:spacing w:before="40" w:after="60" w:line="276" w:lineRule="auto"/>
      </w:pPr>
      <w:r>
        <w:rPr>
          <w:rFonts w:ascii="Segoe UI" w:hAnsi="Segoe UI"/>
          <w:b/>
          <w:color w:val="1E293B"/>
          <w:sz w:val="19"/>
        </w:rPr>
        <w:t>Pass to Buyer</w:t>
      </w:r>
      <w:r>
        <w:rPr>
          <w:rFonts w:ascii="Segoe UI" w:hAnsi="Segoe UI"/>
          <w:b w:val="0"/>
          <w:color w:val="1E293B"/>
          <w:sz w:val="19"/>
        </w:rPr>
        <w:t>: Platform fees are added to the checkout total, resulting in the Buyer paying the item price + shipping + platform fee. The Seller receives 100% of their listed item price upon completion.</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5. Seller Packaging, Shipping &amp; 4-Day Dispatch Guarantee</w:t>
      </w:r>
    </w:p>
    <w:p>
      <w:pPr>
        <w:keepNext/>
        <w:spacing w:before="200" w:after="60"/>
      </w:pPr>
      <w:r>
        <w:rPr>
          <w:rFonts w:ascii="Segoe UI" w:hAnsi="Segoe UI"/>
          <w:b/>
          <w:color w:val="0363FF"/>
          <w:sz w:val="21"/>
        </w:rPr>
        <w:t>5.1 Seller Responsibility for Safe Packaging</w:t>
      </w:r>
    </w:p>
    <w:p>
      <w:pPr>
        <w:spacing w:before="60" w:after="100" w:line="276" w:lineRule="auto"/>
      </w:pPr>
      <w:r>
        <w:rPr>
          <w:rFonts w:ascii="Segoe UI" w:hAnsi="Segoe UI"/>
          <w:b w:val="0"/>
          <w:color w:val="1E293B"/>
          <w:sz w:val="19"/>
        </w:rPr>
        <w:t xml:space="preserve">Sellers bear </w:t>
      </w:r>
      <w:r>
        <w:rPr>
          <w:rFonts w:ascii="Segoe UI" w:hAnsi="Segoe UI"/>
          <w:b/>
          <w:color w:val="1E293B"/>
          <w:sz w:val="19"/>
        </w:rPr>
        <w:t>sole and absolute responsibility</w:t>
      </w:r>
      <w:r>
        <w:rPr>
          <w:rFonts w:ascii="Segoe UI" w:hAnsi="Segoe UI"/>
          <w:b w:val="0"/>
          <w:color w:val="1E293B"/>
          <w:sz w:val="19"/>
        </w:rPr>
        <w:t xml:space="preserve"> for packaging items in a secure, protective, tamper-proof, and transit-resilient manner:</w:t>
      </w:r>
    </w:p>
    <w:p>
      <w:pPr>
        <w:pStyle w:val="ListBullet"/>
        <w:spacing w:before="40" w:after="60" w:line="276" w:lineRule="auto"/>
      </w:pPr>
      <w:r>
        <w:rPr>
          <w:rFonts w:ascii="Segoe UI" w:hAnsi="Segoe UI"/>
          <w:b w:val="0"/>
          <w:color w:val="1E293B"/>
          <w:sz w:val="19"/>
        </w:rPr>
        <w:t>Items must be packed with adequate cushioning (bubble wrap, box reinforcement, moisture protection) suitable for rough road transport or handling.</w:t>
      </w:r>
    </w:p>
    <w:p>
      <w:pPr>
        <w:pStyle w:val="ListBullet"/>
        <w:spacing w:before="40" w:after="60" w:line="276" w:lineRule="auto"/>
      </w:pPr>
      <w:r>
        <w:rPr>
          <w:rFonts w:ascii="Segoe UI" w:hAnsi="Segoe UI"/>
          <w:b w:val="0"/>
          <w:color w:val="1E293B"/>
          <w:sz w:val="19"/>
        </w:rPr>
        <w:t xml:space="preserve">Damage, breakage, or leakage caused by inadequate packaging is the </w:t>
      </w:r>
      <w:r>
        <w:rPr>
          <w:rFonts w:ascii="Segoe UI" w:hAnsi="Segoe UI"/>
          <w:b/>
          <w:color w:val="1E293B"/>
          <w:sz w:val="19"/>
        </w:rPr>
        <w:t>exclusive fault of the Seller</w:t>
      </w:r>
      <w:r>
        <w:rPr>
          <w:rFonts w:ascii="Segoe UI" w:hAnsi="Segoe UI"/>
          <w:b w:val="0"/>
          <w:color w:val="1E293B"/>
          <w:sz w:val="19"/>
        </w:rPr>
        <w:t>. HendAxis Trust will rule in favor of a full refund to the Buyer if item damage is attributable to poor packaging.</w:t>
      </w:r>
    </w:p>
    <w:p>
      <w:pPr>
        <w:keepNext/>
        <w:spacing w:before="200" w:after="60"/>
      </w:pPr>
      <w:r>
        <w:rPr>
          <w:rFonts w:ascii="Segoe UI" w:hAnsi="Segoe UI"/>
          <w:b/>
          <w:color w:val="0363FF"/>
          <w:sz w:val="21"/>
        </w:rPr>
        <w:t>5.2 Mandatory Seller Dispatch Timeframe, Pre-Expiry Warnings &amp; Default Penalties</w:t>
      </w:r>
    </w:p>
    <w:p>
      <w:pPr>
        <w:spacing w:before="60" w:after="100" w:line="276" w:lineRule="auto"/>
      </w:pPr>
      <w:r>
        <w:rPr>
          <w:rFonts w:ascii="Segoe UI" w:hAnsi="Segoe UI"/>
          <w:b w:val="0"/>
          <w:color w:val="1E293B"/>
          <w:sz w:val="19"/>
        </w:rPr>
        <w:t xml:space="preserve">Once a Buyer completes payment into escrow, the Seller must dispatch the item within the platform-configured dispatch window (typically </w:t>
      </w:r>
      <w:r>
        <w:rPr>
          <w:rFonts w:ascii="Segoe UI" w:hAnsi="Segoe UI"/>
          <w:b/>
          <w:color w:val="1E293B"/>
          <w:sz w:val="19"/>
        </w:rPr>
        <w:t>4 days / 96 hours</w:t>
      </w:r>
      <w:r>
        <w:rPr>
          <w:rFonts w:ascii="Segoe UI" w:hAnsi="Segoe UI"/>
          <w:b w:val="0"/>
          <w:color w:val="1E293B"/>
          <w:sz w:val="19"/>
        </w:rPr>
        <w:t>):</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Timely Dispatch &amp; Package Evidence</w:t>
      </w:r>
      <w:r>
        <w:rPr>
          <w:rFonts w:ascii="Segoe UI" w:hAnsi="Segoe UI"/>
          <w:b w:val="0"/>
          <w:color w:val="1E293B"/>
          <w:sz w:val="19"/>
        </w:rPr>
        <w:t>: The Seller must attach a clear WebP photo of the packaged parcel and provide valid tracking details (Courier Waybill or Station Bus Driver details).</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Progressive Pre-Expiry Warning Disclosures</w:t>
      </w:r>
      <w:r>
        <w:rPr>
          <w:rFonts w:ascii="Segoe UI" w:hAnsi="Segoe UI"/>
          <w:b w:val="0"/>
          <w:color w:val="1E293B"/>
          <w:sz w:val="19"/>
        </w:rPr>
        <w:t xml:space="preserve">: Sellers receive progressive automated warnings (via SMS &amp; Email) at </w:t>
      </w:r>
      <w:r>
        <w:rPr>
          <w:rFonts w:ascii="Segoe UI" w:hAnsi="Segoe UI"/>
          <w:b/>
          <w:color w:val="1E293B"/>
          <w:sz w:val="19"/>
        </w:rPr>
        <w:t>24 hours</w:t>
      </w:r>
      <w:r>
        <w:rPr>
          <w:rFonts w:ascii="Segoe UI" w:hAnsi="Segoe UI"/>
          <w:b w:val="0"/>
          <w:color w:val="1E293B"/>
          <w:sz w:val="19"/>
        </w:rPr>
        <w:t xml:space="preserve"> and </w:t>
      </w:r>
      <w:r>
        <w:rPr>
          <w:rFonts w:ascii="Segoe UI" w:hAnsi="Segoe UI"/>
          <w:b/>
          <w:color w:val="1E293B"/>
          <w:sz w:val="19"/>
        </w:rPr>
        <w:t>6 hours</w:t>
      </w:r>
      <w:r>
        <w:rPr>
          <w:rFonts w:ascii="Segoe UI" w:hAnsi="Segoe UI"/>
          <w:b w:val="0"/>
          <w:color w:val="1E293B"/>
          <w:sz w:val="19"/>
        </w:rPr>
        <w:t xml:space="preserve"> prior to expiration, explicitly detailing the calculated non-dispatch default penalty (Platform Fee + 1.95% Gateway Processing Fee) chargeable upon expiration.</w:t>
      </w:r>
    </w:p>
    <w:p>
      <w:pPr>
        <w:spacing w:before="40" w:after="60" w:line="276" w:lineRule="auto"/>
        <w:ind w:left="360"/>
      </w:pPr>
      <w:r>
        <w:rPr>
          <w:rFonts w:ascii="Segoe UI" w:hAnsi="Segoe UI"/>
          <w:b/>
          <w:color w:val="0F172A"/>
          <w:sz w:val="19"/>
        </w:rPr>
        <w:t xml:space="preserve">3. </w:t>
      </w:r>
      <w:r>
        <w:rPr>
          <w:rFonts w:ascii="Segoe UI" w:hAnsi="Segoe UI"/>
          <w:b/>
          <w:color w:val="1E293B"/>
          <w:sz w:val="19"/>
        </w:rPr>
        <w:t>Automatic Cancellation on Non-Dispatch</w:t>
      </w:r>
      <w:r>
        <w:rPr>
          <w:rFonts w:ascii="Segoe UI" w:hAnsi="Segoe UI"/>
          <w:b w:val="0"/>
          <w:color w:val="1E293B"/>
          <w:sz w:val="19"/>
        </w:rPr>
        <w:t xml:space="preserve">: If the Seller fails to log dispatch within the stipulated window, the transaction is </w:t>
      </w:r>
      <w:r>
        <w:rPr>
          <w:rFonts w:ascii="Segoe UI" w:hAnsi="Segoe UI"/>
          <w:b/>
          <w:color w:val="1E293B"/>
          <w:sz w:val="19"/>
        </w:rPr>
        <w:t>automatically cancelled by the system</w:t>
      </w:r>
      <w:r>
        <w:rPr>
          <w:rFonts w:ascii="Segoe UI" w:hAnsi="Segoe UI"/>
          <w:b w:val="0"/>
          <w:color w:val="1E293B"/>
          <w:sz w:val="19"/>
        </w:rPr>
        <w:t xml:space="preserve"> (</w:t>
      </w:r>
      <w:r>
        <w:rPr>
          <w:rFonts w:ascii="Consolas" w:hAnsi="Consolas"/>
          <w:b/>
          <w:color w:val="0363FF"/>
          <w:sz w:val="18"/>
        </w:rPr>
        <w:t>auto_cancelled_non_dispatch = True</w:t>
      </w:r>
      <w:r>
        <w:rPr>
          <w:rFonts w:ascii="Segoe UI" w:hAnsi="Segoe UI"/>
          <w:b w:val="0"/>
          <w:color w:val="1E293B"/>
          <w:sz w:val="19"/>
        </w:rPr>
        <w:t>).</w:t>
      </w:r>
    </w:p>
    <w:p>
      <w:pPr>
        <w:spacing w:before="40" w:after="60" w:line="276" w:lineRule="auto"/>
        <w:ind w:left="360"/>
      </w:pPr>
      <w:r>
        <w:rPr>
          <w:rFonts w:ascii="Segoe UI" w:hAnsi="Segoe UI"/>
          <w:b/>
          <w:color w:val="0F172A"/>
          <w:sz w:val="19"/>
        </w:rPr>
        <w:t xml:space="preserve">4. </w:t>
      </w:r>
      <w:r>
        <w:rPr>
          <w:rFonts w:ascii="Segoe UI" w:hAnsi="Segoe UI"/>
          <w:b/>
          <w:color w:val="1E293B"/>
          <w:sz w:val="19"/>
        </w:rPr>
        <w:t>Buyer Full Refund Guarantee</w:t>
      </w:r>
      <w:r>
        <w:rPr>
          <w:rFonts w:ascii="Segoe UI" w:hAnsi="Segoe UI"/>
          <w:b w:val="0"/>
          <w:color w:val="1E293B"/>
          <w:sz w:val="19"/>
        </w:rPr>
        <w:t xml:space="preserve">: The Buyer is immediately issued a </w:t>
      </w:r>
      <w:r>
        <w:rPr>
          <w:rFonts w:ascii="Segoe UI" w:hAnsi="Segoe UI"/>
          <w:b/>
          <w:color w:val="1E293B"/>
          <w:sz w:val="19"/>
        </w:rPr>
        <w:t>100% full refund</w:t>
      </w:r>
      <w:r>
        <w:rPr>
          <w:rFonts w:ascii="Segoe UI" w:hAnsi="Segoe UI"/>
          <w:b w:val="0"/>
          <w:color w:val="1E293B"/>
          <w:sz w:val="19"/>
        </w:rPr>
        <w:t xml:space="preserve"> (including all item costs, shipping fees, and platform charges) credited back to their original payment medium.</w:t>
      </w:r>
    </w:p>
    <w:p>
      <w:pPr>
        <w:spacing w:before="40" w:after="60" w:line="276" w:lineRule="auto"/>
        <w:ind w:left="360"/>
      </w:pPr>
      <w:r>
        <w:rPr>
          <w:rFonts w:ascii="Segoe UI" w:hAnsi="Segoe UI"/>
          <w:b/>
          <w:color w:val="0F172A"/>
          <w:sz w:val="19"/>
        </w:rPr>
        <w:t xml:space="preserve">5. </w:t>
      </w:r>
      <w:r>
        <w:rPr>
          <w:rFonts w:ascii="Segoe UI" w:hAnsi="Segoe UI"/>
          <w:b/>
          <w:color w:val="1E293B"/>
          <w:sz w:val="19"/>
        </w:rPr>
        <w:t>Seller Non-Dispatch Penalty Authorization</w:t>
      </w:r>
      <w:r>
        <w:rPr>
          <w:rFonts w:ascii="Segoe UI" w:hAnsi="Segoe UI"/>
          <w:b w:val="0"/>
          <w:color w:val="1E293B"/>
          <w:sz w:val="19"/>
        </w:rPr>
        <w:t xml:space="preserve">: The defaulting Seller explicitly authorizes HendAxis Trust to levy a </w:t>
      </w:r>
      <w:r>
        <w:rPr>
          <w:rFonts w:ascii="Segoe UI" w:hAnsi="Segoe UI"/>
          <w:b/>
          <w:color w:val="1E293B"/>
          <w:sz w:val="19"/>
        </w:rPr>
        <w:t>Non-Dispatch Default Penalty</w:t>
      </w:r>
      <w:r>
        <w:rPr>
          <w:rFonts w:ascii="Segoe UI" w:hAnsi="Segoe UI"/>
          <w:b w:val="0"/>
          <w:color w:val="1E293B"/>
          <w:sz w:val="19"/>
        </w:rPr>
        <w:t xml:space="preserve"> equal to the </w:t>
      </w:r>
      <w:r>
        <w:rPr>
          <w:rFonts w:ascii="Segoe UI" w:hAnsi="Segoe UI"/>
          <w:b/>
          <w:color w:val="1E293B"/>
          <w:sz w:val="19"/>
        </w:rPr>
        <w:t>Platform Fee + 1.95% payment gateway processing fee</w:t>
      </w:r>
      <w:r>
        <w:rPr>
          <w:rFonts w:ascii="Segoe UI" w:hAnsi="Segoe UI"/>
          <w:b w:val="0"/>
          <w:color w:val="1E293B"/>
          <w:sz w:val="19"/>
        </w:rPr>
        <w:t>. This penalty will be debited from the Seller’s Wallet balance or deducted from future transaction payouts.</w:t>
      </w:r>
    </w:p>
    <w:p>
      <w:pPr>
        <w:spacing w:before="40" w:after="60" w:line="276" w:lineRule="auto"/>
        <w:ind w:left="360"/>
      </w:pPr>
      <w:r>
        <w:rPr>
          <w:rFonts w:ascii="Segoe UI" w:hAnsi="Segoe UI"/>
          <w:b/>
          <w:color w:val="0F172A"/>
          <w:sz w:val="19"/>
        </w:rPr>
        <w:t xml:space="preserve">6. </w:t>
      </w:r>
      <w:r>
        <w:rPr>
          <w:rFonts w:ascii="Segoe UI" w:hAnsi="Segoe UI"/>
          <w:b/>
          <w:color w:val="1E293B"/>
          <w:sz w:val="19"/>
        </w:rPr>
        <w:t>Dispatch Expiry Governance &amp; Account Suspension</w:t>
      </w:r>
      <w:r>
        <w:rPr>
          <w:rFonts w:ascii="Segoe UI" w:hAnsi="Segoe UI"/>
          <w:b w:val="0"/>
          <w:color w:val="1E293B"/>
          <w:sz w:val="19"/>
        </w:rPr>
        <w:t xml:space="preserve">: Sellers who accumulate a non-dispatch expiry rate of $\ge 20\%$ will receive warning notifications; sellers with an expiry rate of $\ge 35\%$ (with at least 5 paid transactions) will be </w:t>
      </w:r>
      <w:r>
        <w:rPr>
          <w:rFonts w:ascii="Segoe UI" w:hAnsi="Segoe UI"/>
          <w:b/>
          <w:color w:val="1E293B"/>
          <w:sz w:val="19"/>
        </w:rPr>
        <w:t>automatically suspended</w:t>
      </w:r>
      <w:r>
        <w:rPr>
          <w:rFonts w:ascii="Segoe UI" w:hAnsi="Segoe UI"/>
          <w:b w:val="0"/>
          <w:color w:val="1E293B"/>
          <w:sz w:val="19"/>
        </w:rPr>
        <w:t xml:space="preserve"> from creating new payment links or accepting new orders.</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6. Buyer Order Cancellations, Seller Dispatch Verification Grace Period &amp; Delayed Payout Safety Buffer</w:t>
      </w:r>
    </w:p>
    <w:p>
      <w:pPr>
        <w:keepNext/>
        <w:spacing w:before="200" w:after="60"/>
      </w:pPr>
      <w:r>
        <w:rPr>
          <w:rFonts w:ascii="Segoe UI" w:hAnsi="Segoe UI"/>
          <w:b/>
          <w:color w:val="0363FF"/>
          <w:sz w:val="21"/>
        </w:rPr>
        <w:t>6.1 Cancellation Eligibility &amp; Pre-Dispatch Requirement</w:t>
      </w:r>
    </w:p>
    <w:p>
      <w:pPr>
        <w:spacing w:before="60" w:after="100" w:line="276" w:lineRule="auto"/>
      </w:pPr>
      <w:r>
        <w:rPr>
          <w:rFonts w:ascii="Segoe UI" w:hAnsi="Segoe UI"/>
          <w:b w:val="0"/>
          <w:color w:val="1E293B"/>
          <w:sz w:val="19"/>
        </w:rPr>
        <w:t>Buyers may request cancellation only for orders that have not yet been marked dispatched (</w:t>
      </w:r>
      <w:r>
        <w:rPr>
          <w:rFonts w:ascii="Consolas" w:hAnsi="Consolas"/>
          <w:b/>
          <w:color w:val="0363FF"/>
          <w:sz w:val="18"/>
        </w:rPr>
        <w:t>PAYMENT_RECEIVED</w:t>
      </w:r>
      <w:r>
        <w:rPr>
          <w:rFonts w:ascii="Segoe UI" w:hAnsi="Segoe UI"/>
          <w:b w:val="0"/>
          <w:color w:val="1E293B"/>
          <w:sz w:val="19"/>
        </w:rPr>
        <w:t xml:space="preserve">). Once a transaction has transitioned to </w:t>
      </w:r>
      <w:r>
        <w:rPr>
          <w:rFonts w:ascii="Consolas" w:hAnsi="Consolas"/>
          <w:b/>
          <w:color w:val="0363FF"/>
          <w:sz w:val="18"/>
        </w:rPr>
        <w:t>DELIVERY_IN_PROGRESS</w:t>
      </w:r>
      <w:r>
        <w:rPr>
          <w:rFonts w:ascii="Segoe UI" w:hAnsi="Segoe UI"/>
          <w:b w:val="0"/>
          <w:color w:val="1E293B"/>
          <w:sz w:val="19"/>
        </w:rPr>
        <w:t>, direct buyer cancellation is barred, and the standard delivery/dispute workflow applies.</w:t>
      </w:r>
    </w:p>
    <w:p>
      <w:pPr>
        <w:keepNext/>
        <w:spacing w:before="200" w:after="60"/>
      </w:pPr>
      <w:r>
        <w:rPr>
          <w:rFonts w:ascii="Segoe UI" w:hAnsi="Segoe UI"/>
          <w:b/>
          <w:color w:val="0363FF"/>
          <w:sz w:val="21"/>
        </w:rPr>
        <w:t>6.2 90-Minute Seller Dispatch Verification Grace Window</w:t>
      </w:r>
    </w:p>
    <w:p>
      <w:pPr>
        <w:spacing w:before="60" w:after="100" w:line="276" w:lineRule="auto"/>
      </w:pPr>
      <w:r>
        <w:rPr>
          <w:rFonts w:ascii="Segoe UI" w:hAnsi="Segoe UI"/>
          <w:b w:val="0"/>
          <w:color w:val="1E293B"/>
          <w:sz w:val="19"/>
        </w:rPr>
        <w:t>To prevent bad-faith cancellations where a seller has physically handed over a package to a transporter but has not yet updated the platform:</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Initiation &amp; Status</w:t>
      </w:r>
      <w:r>
        <w:rPr>
          <w:rFonts w:ascii="Segoe UI" w:hAnsi="Segoe UI"/>
          <w:b w:val="0"/>
          <w:color w:val="1E293B"/>
          <w:sz w:val="19"/>
        </w:rPr>
        <w:t xml:space="preserve">: Submitting a cancellation request places the transaction into an active </w:t>
      </w:r>
      <w:r>
        <w:rPr>
          <w:rFonts w:ascii="Segoe UI" w:hAnsi="Segoe UI"/>
          <w:b/>
          <w:color w:val="1E293B"/>
          <w:sz w:val="19"/>
        </w:rPr>
        <w:t>90-Minute Seller Verification Grace Window</w:t>
      </w:r>
      <w:r>
        <w:rPr>
          <w:rFonts w:ascii="Segoe UI" w:hAnsi="Segoe UI"/>
          <w:b w:val="0"/>
          <w:color w:val="1E293B"/>
          <w:sz w:val="19"/>
        </w:rPr>
        <w:t xml:space="preserve"> (</w:t>
      </w:r>
      <w:r>
        <w:rPr>
          <w:rFonts w:ascii="Consolas" w:hAnsi="Consolas"/>
          <w:b/>
          <w:color w:val="0363FF"/>
          <w:sz w:val="18"/>
        </w:rPr>
        <w:t>cancellation_payout_status = 'PENDING_CONFIRMATION'</w:t>
      </w:r>
      <w:r>
        <w:rPr>
          <w:rFonts w:ascii="Segoe UI" w:hAnsi="Segoe UI"/>
          <w:b w:val="0"/>
          <w:color w:val="1E293B"/>
          <w:sz w:val="19"/>
        </w:rPr>
        <w:t>).</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Instant Seller Alert</w:t>
      </w:r>
      <w:r>
        <w:rPr>
          <w:rFonts w:ascii="Segoe UI" w:hAnsi="Segoe UI"/>
          <w:b w:val="0"/>
          <w:color w:val="1E293B"/>
          <w:sz w:val="19"/>
        </w:rPr>
        <w:t>: The platform immediately dispatches an urgent SMS and Email notification to the Seller prompting verification.</w:t>
      </w:r>
    </w:p>
    <w:p>
      <w:pPr>
        <w:spacing w:before="40" w:after="60" w:line="276" w:lineRule="auto"/>
        <w:ind w:left="360"/>
      </w:pPr>
      <w:r>
        <w:rPr>
          <w:rFonts w:ascii="Segoe UI" w:hAnsi="Segoe UI"/>
          <w:b/>
          <w:color w:val="0F172A"/>
          <w:sz w:val="19"/>
        </w:rPr>
        <w:t xml:space="preserve">3. </w:t>
      </w:r>
      <w:r>
        <w:rPr>
          <w:rFonts w:ascii="Segoe UI" w:hAnsi="Segoe UI"/>
          <w:b/>
          <w:color w:val="1E293B"/>
          <w:sz w:val="19"/>
        </w:rPr>
        <w:t>Seller Acceptance</w:t>
      </w:r>
      <w:r>
        <w:rPr>
          <w:rFonts w:ascii="Segoe UI" w:hAnsi="Segoe UI"/>
          <w:b w:val="0"/>
          <w:color w:val="1E293B"/>
          <w:sz w:val="19"/>
        </w:rPr>
        <w:t>: If the Seller has not shipped, they can accept the cancellation immediately (</w:t>
      </w:r>
      <w:r>
        <w:rPr>
          <w:rFonts w:ascii="Consolas" w:hAnsi="Consolas"/>
          <w:b/>
          <w:color w:val="0363FF"/>
          <w:sz w:val="18"/>
        </w:rPr>
        <w:t>accept-cancellation</w:t>
      </w:r>
      <w:r>
        <w:rPr>
          <w:rFonts w:ascii="Segoe UI" w:hAnsi="Segoe UI"/>
          <w:b w:val="0"/>
          <w:color w:val="1E293B"/>
          <w:sz w:val="19"/>
        </w:rPr>
        <w:t xml:space="preserve">). The transaction is marked </w:t>
      </w:r>
      <w:r>
        <w:rPr>
          <w:rFonts w:ascii="Consolas" w:hAnsi="Consolas"/>
          <w:b/>
          <w:color w:val="0363FF"/>
          <w:sz w:val="18"/>
        </w:rPr>
        <w:t>CANCELLED</w:t>
      </w:r>
      <w:r>
        <w:rPr>
          <w:rFonts w:ascii="Segoe UI" w:hAnsi="Segoe UI"/>
          <w:b w:val="0"/>
          <w:color w:val="1E293B"/>
          <w:sz w:val="19"/>
        </w:rPr>
        <w:t xml:space="preserve"> and moves into the 90-minute safety payout buffer.</w:t>
      </w:r>
    </w:p>
    <w:p>
      <w:pPr>
        <w:spacing w:before="40" w:after="60" w:line="276" w:lineRule="auto"/>
        <w:ind w:left="360"/>
      </w:pPr>
      <w:r>
        <w:rPr>
          <w:rFonts w:ascii="Segoe UI" w:hAnsi="Segoe UI"/>
          <w:b/>
          <w:color w:val="0F172A"/>
          <w:sz w:val="19"/>
        </w:rPr>
        <w:t xml:space="preserve">4. </w:t>
      </w:r>
      <w:r>
        <w:rPr>
          <w:rFonts w:ascii="Segoe UI" w:hAnsi="Segoe UI"/>
          <w:b/>
          <w:color w:val="1E293B"/>
          <w:sz w:val="19"/>
        </w:rPr>
        <w:t>Seller Confirmation of Prior Dispatch</w:t>
      </w:r>
      <w:r>
        <w:rPr>
          <w:rFonts w:ascii="Segoe UI" w:hAnsi="Segoe UI"/>
          <w:b w:val="0"/>
          <w:color w:val="1E293B"/>
          <w:sz w:val="19"/>
        </w:rPr>
        <w:t xml:space="preserve">: If the Seller has already handed the parcel to a courier, they can click </w:t>
      </w:r>
      <w:r>
        <w:rPr>
          <w:rFonts w:ascii="Segoe UI" w:hAnsi="Segoe UI"/>
          <w:b/>
          <w:color w:val="1E293B"/>
          <w:sz w:val="19"/>
        </w:rPr>
        <w:t>"I Already Shipped"</w:t>
      </w:r>
      <w:r>
        <w:rPr>
          <w:rFonts w:ascii="Segoe UI" w:hAnsi="Segoe UI"/>
          <w:b w:val="0"/>
          <w:color w:val="1E293B"/>
          <w:sz w:val="19"/>
        </w:rPr>
        <w:t xml:space="preserve"> (</w:t>
      </w:r>
      <w:r>
        <w:rPr>
          <w:rFonts w:ascii="Consolas" w:hAnsi="Consolas"/>
          <w:b/>
          <w:color w:val="0363FF"/>
          <w:sz w:val="18"/>
        </w:rPr>
        <w:t>reject-cancellation-shipped</w:t>
      </w:r>
      <w:r>
        <w:rPr>
          <w:rFonts w:ascii="Segoe UI" w:hAnsi="Segoe UI"/>
          <w:b w:val="0"/>
          <w:color w:val="1E293B"/>
          <w:sz w:val="19"/>
        </w:rPr>
        <w:t xml:space="preserve">) to submit the carrier name, waybill / tracking code, and dispatch notes. This immediately halts the cancellation, records the dispatch proof, and transitions the order to </w:t>
      </w:r>
      <w:r>
        <w:rPr>
          <w:rFonts w:ascii="Consolas" w:hAnsi="Consolas"/>
          <w:b/>
          <w:color w:val="0363FF"/>
          <w:sz w:val="18"/>
        </w:rPr>
        <w:t>DELIVERY_IN_PROGRESS</w:t>
      </w:r>
      <w:r>
        <w:rPr>
          <w:rFonts w:ascii="Segoe UI" w:hAnsi="Segoe UI"/>
          <w:b w:val="0"/>
          <w:color w:val="1E293B"/>
          <w:sz w:val="19"/>
        </w:rPr>
        <w:t>.</w:t>
      </w:r>
    </w:p>
    <w:p>
      <w:pPr>
        <w:spacing w:before="40" w:after="60" w:line="276" w:lineRule="auto"/>
        <w:ind w:left="360"/>
      </w:pPr>
      <w:r>
        <w:rPr>
          <w:rFonts w:ascii="Segoe UI" w:hAnsi="Segoe UI"/>
          <w:b/>
          <w:color w:val="0F172A"/>
          <w:sz w:val="19"/>
        </w:rPr>
        <w:t xml:space="preserve">5. </w:t>
      </w:r>
      <w:r>
        <w:rPr>
          <w:rFonts w:ascii="Segoe UI" w:hAnsi="Segoe UI"/>
          <w:b/>
          <w:color w:val="1E293B"/>
          <w:sz w:val="19"/>
        </w:rPr>
        <w:t>Automated Expiry</w:t>
      </w:r>
      <w:r>
        <w:rPr>
          <w:rFonts w:ascii="Segoe UI" w:hAnsi="Segoe UI"/>
          <w:b w:val="0"/>
          <w:color w:val="1E293B"/>
          <w:sz w:val="19"/>
        </w:rPr>
        <w:t>: If 90 minutes elapse with no seller response, the system auto-confirms the cancellation.</w:t>
      </w:r>
    </w:p>
    <w:p>
      <w:pPr>
        <w:keepNext/>
        <w:spacing w:before="200" w:after="60"/>
      </w:pPr>
      <w:r>
        <w:rPr>
          <w:rFonts w:ascii="Segoe UI" w:hAnsi="Segoe UI"/>
          <w:b/>
          <w:color w:val="0363FF"/>
          <w:sz w:val="21"/>
        </w:rPr>
        <w:t>6.3 90-Minute Delayed Payout Safety Hold Buffer &amp; Arbitration Freeze</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Safety Hold Duration</w:t>
      </w:r>
      <w:r>
        <w:rPr>
          <w:rFonts w:ascii="Segoe UI" w:hAnsi="Segoe UI"/>
          <w:b w:val="0"/>
          <w:color w:val="1E293B"/>
          <w:sz w:val="19"/>
        </w:rPr>
        <w:t xml:space="preserve">: Confirmed cancellations enter a </w:t>
      </w:r>
      <w:r>
        <w:rPr>
          <w:rFonts w:ascii="Segoe UI" w:hAnsi="Segoe UI"/>
          <w:b/>
          <w:color w:val="1E293B"/>
          <w:sz w:val="19"/>
        </w:rPr>
        <w:t>90-minute Delayed Payout Safety Buffer</w:t>
      </w:r>
      <w:r>
        <w:rPr>
          <w:rFonts w:ascii="Segoe UI" w:hAnsi="Segoe UI"/>
          <w:b w:val="0"/>
          <w:color w:val="1E293B"/>
          <w:sz w:val="19"/>
        </w:rPr>
        <w:t xml:space="preserve"> (</w:t>
      </w:r>
      <w:r>
        <w:rPr>
          <w:rFonts w:ascii="Consolas" w:hAnsi="Consolas"/>
          <w:b/>
          <w:color w:val="0363FF"/>
          <w:sz w:val="18"/>
        </w:rPr>
        <w:t>cancellation_payout_status = 'HELD_DELAYED'</w:t>
      </w:r>
      <w:r>
        <w:rPr>
          <w:rFonts w:ascii="Segoe UI" w:hAnsi="Segoe UI"/>
          <w:b w:val="0"/>
          <w:color w:val="1E293B"/>
          <w:sz w:val="19"/>
        </w:rPr>
        <w:t>) prior to final outbound refund payout.</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Seller Emergency Report &amp; Freeze</w:t>
      </w:r>
      <w:r>
        <w:rPr>
          <w:rFonts w:ascii="Segoe UI" w:hAnsi="Segoe UI"/>
          <w:b w:val="0"/>
          <w:color w:val="1E293B"/>
          <w:sz w:val="19"/>
        </w:rPr>
        <w:t>: If a Seller was offline during the 90-minute grace window but physically shipped the parcel prior to cancellation, they may submit their waybill proof during the 90-minute hold (</w:t>
      </w:r>
      <w:r>
        <w:rPr>
          <w:rFonts w:ascii="Consolas" w:hAnsi="Consolas"/>
          <w:b/>
          <w:color w:val="0363FF"/>
          <w:sz w:val="18"/>
        </w:rPr>
        <w:t>report-shipped-freeze</w:t>
      </w:r>
      <w:r>
        <w:rPr>
          <w:rFonts w:ascii="Segoe UI" w:hAnsi="Segoe UI"/>
          <w:b w:val="0"/>
          <w:color w:val="1E293B"/>
          <w:sz w:val="19"/>
        </w:rPr>
        <w:t xml:space="preserve">). This </w:t>
      </w:r>
      <w:r>
        <w:rPr>
          <w:rFonts w:ascii="Segoe UI" w:hAnsi="Segoe UI"/>
          <w:b/>
          <w:color w:val="1E293B"/>
          <w:sz w:val="19"/>
        </w:rPr>
        <w:t>immediately freezes outbound payout disbursement</w:t>
      </w:r>
      <w:r>
        <w:rPr>
          <w:rFonts w:ascii="Segoe UI" w:hAnsi="Segoe UI"/>
          <w:b w:val="0"/>
          <w:color w:val="1E293B"/>
          <w:sz w:val="19"/>
        </w:rPr>
        <w:t xml:space="preserve"> and escalates the transaction to </w:t>
      </w:r>
      <w:r>
        <w:rPr>
          <w:rFonts w:ascii="Consolas" w:hAnsi="Consolas"/>
          <w:b/>
          <w:color w:val="0363FF"/>
          <w:sz w:val="18"/>
        </w:rPr>
        <w:t>DISPUTED</w:t>
      </w:r>
      <w:r>
        <w:rPr>
          <w:rFonts w:ascii="Segoe UI" w:hAnsi="Segoe UI"/>
          <w:b w:val="0"/>
          <w:color w:val="1E293B"/>
          <w:sz w:val="19"/>
        </w:rPr>
        <w:t xml:space="preserve"> under HendAxis Arbitration.</w:t>
      </w:r>
    </w:p>
    <w:p>
      <w:pPr>
        <w:spacing w:before="40" w:after="60" w:line="276" w:lineRule="auto"/>
        <w:ind w:left="360"/>
      </w:pPr>
      <w:r>
        <w:rPr>
          <w:rFonts w:ascii="Segoe UI" w:hAnsi="Segoe UI"/>
          <w:b/>
          <w:color w:val="0F172A"/>
          <w:sz w:val="19"/>
        </w:rPr>
        <w:t xml:space="preserve">3. </w:t>
      </w:r>
      <w:r>
        <w:rPr>
          <w:rFonts w:ascii="Segoe UI" w:hAnsi="Segoe UI"/>
          <w:b/>
          <w:color w:val="1E293B"/>
          <w:sz w:val="19"/>
        </w:rPr>
        <w:t>Automatic Matured Disbursement</w:t>
      </w:r>
      <w:r>
        <w:rPr>
          <w:rFonts w:ascii="Segoe UI" w:hAnsi="Segoe UI"/>
          <w:b w:val="0"/>
          <w:color w:val="1E293B"/>
          <w:sz w:val="19"/>
        </w:rPr>
        <w:t>: If no seller dispute report is lodged during the 90-minute hold, the delayed refund is automatically processed.</w:t>
      </w:r>
    </w:p>
    <w:p>
      <w:pPr>
        <w:keepNext/>
        <w:spacing w:before="200" w:after="60"/>
      </w:pPr>
      <w:r>
        <w:rPr>
          <w:rFonts w:ascii="Segoe UI" w:hAnsi="Segoe UI"/>
          <w:b/>
          <w:color w:val="0363FF"/>
          <w:sz w:val="21"/>
        </w:rPr>
        <w:t>6.4 Buyer Account Requirement &amp; Transparent Fee Deductions</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Account Creation for Guest Buyers</w:t>
      </w:r>
      <w:r>
        <w:rPr>
          <w:rFonts w:ascii="Segoe UI" w:hAnsi="Segoe UI"/>
          <w:b w:val="0"/>
          <w:color w:val="1E293B"/>
          <w:sz w:val="19"/>
        </w:rPr>
        <w:t>: Guest buyers must specify an account password during cancellation. Net refunds are credited directly to their In-App Wallet or Mobile Money account, ensuring immediate balance accessibility.</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Transparent Deductions</w:t>
      </w:r>
      <w:r>
        <w:rPr>
          <w:rFonts w:ascii="Segoe UI" w:hAnsi="Segoe UI"/>
          <w:b w:val="0"/>
          <w:color w:val="1E293B"/>
          <w:sz w:val="19"/>
        </w:rPr>
        <w:t>:</w:t>
      </w:r>
    </w:p>
    <w:p>
      <w:pPr>
        <w:pStyle w:val="ListBullet"/>
        <w:spacing w:before="40" w:after="60" w:line="276" w:lineRule="auto"/>
      </w:pPr>
      <w:r>
        <w:rPr>
          <w:rFonts w:ascii="Segoe UI" w:hAnsi="Segoe UI"/>
          <w:b w:val="0"/>
          <w:color w:val="1E293B"/>
          <w:sz w:val="19"/>
        </w:rPr>
        <w:t>The non-refundable Platform Escrow Protection Fee is retained by the platform.</w:t>
      </w:r>
    </w:p>
    <w:p>
      <w:pPr>
        <w:pStyle w:val="ListBullet"/>
        <w:spacing w:before="40" w:after="60" w:line="276" w:lineRule="auto"/>
      </w:pPr>
      <w:r>
        <w:rPr>
          <w:rFonts w:ascii="Segoe UI" w:hAnsi="Segoe UI"/>
          <w:b w:val="0"/>
          <w:color w:val="1E293B"/>
          <w:sz w:val="19"/>
        </w:rPr>
        <w:t>Payout transfer fees charged by payment providers (1.95% Paystack processing fee) are deducted from direct Mobile Money disbursements ($0 fee for In-App Wallet credits).</w:t>
      </w:r>
    </w:p>
    <w:p>
      <w:pPr>
        <w:keepNext/>
        <w:spacing w:before="200" w:after="60"/>
      </w:pPr>
      <w:r>
        <w:rPr>
          <w:rFonts w:ascii="Segoe UI" w:hAnsi="Segoe UI"/>
          <w:b/>
          <w:color w:val="0363FF"/>
          <w:sz w:val="21"/>
        </w:rPr>
        <w:t>6.5 Anti-Abuse Rate Limiting</w:t>
      </w:r>
    </w:p>
    <w:p>
      <w:pPr>
        <w:spacing w:before="60" w:after="100" w:line="276" w:lineRule="auto"/>
      </w:pPr>
      <w:r>
        <w:rPr>
          <w:rFonts w:ascii="Segoe UI" w:hAnsi="Segoe UI"/>
          <w:b w:val="0"/>
          <w:color w:val="1E293B"/>
          <w:sz w:val="19"/>
        </w:rPr>
        <w:t xml:space="preserve">Buyers are strictly restricted to a maximum of </w:t>
      </w:r>
      <w:r>
        <w:rPr>
          <w:rFonts w:ascii="Segoe UI" w:hAnsi="Segoe UI"/>
          <w:b/>
          <w:color w:val="1E293B"/>
          <w:sz w:val="19"/>
        </w:rPr>
        <w:t>2 cancellations per rolling 30-day period</w:t>
      </w:r>
      <w:r>
        <w:rPr>
          <w:rFonts w:ascii="Segoe UI" w:hAnsi="Segoe UI"/>
          <w:b w:val="0"/>
          <w:color w:val="1E293B"/>
          <w:sz w:val="19"/>
        </w:rPr>
        <w:t xml:space="preserve"> (</w:t>
      </w:r>
      <w:r>
        <w:rPr>
          <w:rFonts w:ascii="Consolas" w:hAnsi="Consolas"/>
          <w:b/>
          <w:color w:val="0363FF"/>
          <w:sz w:val="18"/>
        </w:rPr>
        <w:t>buyer_monthly_cancel_limit = 2</w:t>
      </w:r>
      <w:r>
        <w:rPr>
          <w:rFonts w:ascii="Segoe UI" w:hAnsi="Segoe UI"/>
          <w:b w:val="0"/>
          <w:color w:val="1E293B"/>
          <w:sz w:val="19"/>
        </w:rPr>
        <w:t>). Excessive cancellation attempts beyond this quota are blocked by the system.</w:t>
      </w:r>
    </w:p>
    <w:p>
      <w:pPr>
        <w:keepNext/>
        <w:spacing w:before="200" w:after="60"/>
      </w:pPr>
      <w:r>
        <w:rPr>
          <w:rFonts w:ascii="Segoe UI" w:hAnsi="Segoe UI"/>
          <w:b/>
          <w:color w:val="0363FF"/>
          <w:sz w:val="21"/>
        </w:rPr>
        <w:t>6.6 Mandatory Dispatch Recording &amp; Total Platform Indemnity</w:t>
      </w:r>
    </w:p>
    <w:tbl>
      <w:tblPr>
        <w:tblW w:type="auto" w:w="0"/>
        <w:jc w:val="center"/>
        <w:tblLayout w:type="fixed"/>
        <w:tblLook w:firstColumn="1" w:firstRow="1" w:lastColumn="0" w:lastRow="0" w:noHBand="0" w:noVBand="1" w:val="04A0"/>
      </w:tblPr>
      <w:tblGrid>
        <w:gridCol w:w="9936"/>
      </w:tblGrid>
      <w:tr>
        <w:tc>
          <w:tcPr>
            <w:tcW w:type="dxa" w:w="9936"/>
            <w:shd w:fill="FFFBEB"/>
            <w:tcBorders>
              <w:top w:val="none"/>
              <w:left w:val="single" w:sz="24" w:space="0" w:color="F59E0B"/>
              <w:bottom w:val="none"/>
              <w:right w:val="none"/>
            </w:tcBorders>
            <w:tcMar>
              <w:top w:w="140" w:type="dxa"/>
              <w:bottom w:w="140" w:type="dxa"/>
              <w:left w:w="200" w:type="dxa"/>
              <w:right w:w="160" w:type="dxa"/>
            </w:tcMar>
          </w:tcPr>
          <w:p>
            <w:pPr>
              <w:spacing w:before="0" w:after="80"/>
            </w:pPr>
            <w:r>
              <w:rPr>
                <w:rFonts w:ascii="Segoe UI" w:hAnsi="Segoe UI"/>
                <w:b/>
                <w:color w:val="92400E"/>
                <w:sz w:val="19"/>
              </w:rPr>
              <w:t>⚠️ CRITICAL LEGAL NOTICE &amp; INDEMNITY REQUIREMENT</w:t>
            </w:r>
          </w:p>
          <w:p>
            <w:pPr>
              <w:spacing w:before="40" w:after="40" w:line="276" w:lineRule="auto"/>
            </w:pPr>
            <w:r>
              <w:rPr>
                <w:rFonts w:ascii="Segoe UI" w:hAnsi="Segoe UI"/>
                <w:b/>
                <w:color w:val="92400E"/>
                <w:sz w:val="18"/>
              </w:rPr>
              <w:t>Sellers are legally required to log parcel dispatch on the platform prior to physical handover.</w:t>
            </w:r>
          </w:p>
          <w:p>
            <w:pPr>
              <w:spacing w:before="40" w:after="40" w:line="276" w:lineRule="auto"/>
            </w:pPr>
            <w:r>
              <w:rPr>
                <w:rFonts w:ascii="Segoe UI" w:hAnsi="Segoe UI"/>
                <w:b w:val="0"/>
                <w:color w:val="92400E"/>
                <w:sz w:val="18"/>
              </w:rPr>
              <w:t xml:space="preserve">HendAxis Trust bears </w:t>
            </w:r>
            <w:r>
              <w:rPr>
                <w:rFonts w:ascii="Segoe UI" w:hAnsi="Segoe UI"/>
                <w:b/>
                <w:color w:val="92400E"/>
                <w:sz w:val="18"/>
              </w:rPr>
              <w:t>zero financial liability or obligation</w:t>
            </w:r>
            <w:r>
              <w:rPr>
                <w:rFonts w:ascii="Segoe UI" w:hAnsi="Segoe UI"/>
                <w:b w:val="0"/>
                <w:color w:val="92400E"/>
                <w:sz w:val="18"/>
              </w:rPr>
              <w:t xml:space="preserve"> for parcels dispatched offline where the seller failed to record tracking details on the platform before the cancellation grace and safety hold buffers elapsed.</w:t>
            </w:r>
          </w:p>
        </w:tc>
      </w:tr>
    </w:tbl>
    <w:p>
      <w:pPr>
        <w:spacing w:before="0" w:after="80"/>
      </w:pP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7. Photo &amp; Media Evidence Policy</w:t>
      </w:r>
    </w:p>
    <w:p>
      <w:pPr>
        <w:keepNext/>
        <w:spacing w:before="200" w:after="60"/>
      </w:pPr>
      <w:r>
        <w:rPr>
          <w:rFonts w:ascii="Segoe UI" w:hAnsi="Segoe UI"/>
          <w:b/>
          <w:color w:val="0363FF"/>
          <w:sz w:val="21"/>
        </w:rPr>
        <w:t>7.1 Binding Legal Evidence</w:t>
      </w:r>
    </w:p>
    <w:p>
      <w:pPr>
        <w:spacing w:before="60" w:after="100" w:line="276" w:lineRule="auto"/>
      </w:pPr>
      <w:r>
        <w:rPr>
          <w:rFonts w:ascii="Segoe UI" w:hAnsi="Segoe UI"/>
          <w:b w:val="0"/>
          <w:color w:val="1E293B"/>
          <w:sz w:val="19"/>
        </w:rPr>
        <w:t xml:space="preserve">All photos, images, waybill documents, and media uploaded to HendAxis Trust (including dispatch parcel photos, buyer unboxing photos, and dispute evidence attachments) constitute </w:t>
      </w:r>
      <w:r>
        <w:rPr>
          <w:rFonts w:ascii="Segoe UI" w:hAnsi="Segoe UI"/>
          <w:b/>
          <w:color w:val="1E293B"/>
          <w:sz w:val="19"/>
        </w:rPr>
        <w:t>binding legal evidence</w:t>
      </w:r>
      <w:r>
        <w:rPr>
          <w:rFonts w:ascii="Segoe UI" w:hAnsi="Segoe UI"/>
          <w:b w:val="0"/>
          <w:color w:val="1E293B"/>
          <w:sz w:val="19"/>
        </w:rPr>
        <w:t xml:space="preserve"> in platform arbitrations and legal proceedings.</w:t>
      </w:r>
    </w:p>
    <w:p>
      <w:pPr>
        <w:keepNext/>
        <w:spacing w:before="200" w:after="60"/>
      </w:pPr>
      <w:r>
        <w:rPr>
          <w:rFonts w:ascii="Segoe UI" w:hAnsi="Segoe UI"/>
          <w:b/>
          <w:color w:val="0363FF"/>
          <w:sz w:val="21"/>
        </w:rPr>
        <w:t>7.2 Best Practices for Media Verification</w:t>
      </w:r>
    </w:p>
    <w:p>
      <w:pPr>
        <w:pStyle w:val="ListBullet"/>
        <w:spacing w:before="40" w:after="60" w:line="276" w:lineRule="auto"/>
      </w:pPr>
      <w:r>
        <w:rPr>
          <w:rFonts w:ascii="Segoe UI" w:hAnsi="Segoe UI"/>
          <w:b/>
          <w:color w:val="1E293B"/>
          <w:sz w:val="19"/>
        </w:rPr>
        <w:t>Sellers</w:t>
      </w:r>
      <w:r>
        <w:rPr>
          <w:rFonts w:ascii="Segoe UI" w:hAnsi="Segoe UI"/>
          <w:b w:val="0"/>
          <w:color w:val="1E293B"/>
          <w:sz w:val="19"/>
        </w:rPr>
        <w:t>: Are strongly advised to film the item condition and packaging process prior to sealing the parcel.</w:t>
      </w:r>
    </w:p>
    <w:p>
      <w:pPr>
        <w:pStyle w:val="ListBullet"/>
        <w:spacing w:before="40" w:after="60" w:line="276" w:lineRule="auto"/>
      </w:pPr>
      <w:r>
        <w:rPr>
          <w:rFonts w:ascii="Segoe UI" w:hAnsi="Segoe UI"/>
          <w:b/>
          <w:color w:val="1E293B"/>
          <w:sz w:val="19"/>
        </w:rPr>
        <w:t>Buyers</w:t>
      </w:r>
      <w:r>
        <w:rPr>
          <w:rFonts w:ascii="Segoe UI" w:hAnsi="Segoe UI"/>
          <w:b w:val="0"/>
          <w:color w:val="1E293B"/>
          <w:sz w:val="19"/>
        </w:rPr>
        <w:t>: Are strongly advised to record a continuous unboxing video when opening the received parcel.</w:t>
      </w:r>
    </w:p>
    <w:p>
      <w:pPr>
        <w:pStyle w:val="ListBullet"/>
        <w:spacing w:before="40" w:after="60" w:line="276" w:lineRule="auto"/>
      </w:pPr>
      <w:r>
        <w:rPr>
          <w:rFonts w:ascii="Segoe UI" w:hAnsi="Segoe UI"/>
          <w:b/>
          <w:color w:val="1E293B"/>
          <w:sz w:val="19"/>
        </w:rPr>
        <w:t>Dispute Uploads</w:t>
      </w:r>
      <w:r>
        <w:rPr>
          <w:rFonts w:ascii="Segoe UI" w:hAnsi="Segoe UI"/>
          <w:b w:val="0"/>
          <w:color w:val="1E293B"/>
          <w:sz w:val="19"/>
        </w:rPr>
        <w:t>: In the event of a dispute, Buyers and Sellers may upload up to 5 high-resolution evidence photos. Uploaded images are compressed server-side to $\le 1\text{MB}$ post-resolution for permanent audit trail retention.</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8. Delivery Paths &amp; Inspection Period Expiry</w:t>
      </w:r>
    </w:p>
    <w:p>
      <w:pPr>
        <w:keepNext/>
        <w:spacing w:before="200" w:after="60"/>
      </w:pPr>
      <w:r>
        <w:rPr>
          <w:rFonts w:ascii="Segoe UI" w:hAnsi="Segoe UI"/>
          <w:b/>
          <w:color w:val="0363FF"/>
          <w:sz w:val="21"/>
        </w:rPr>
        <w:t>8.1 Delivery Verification Paths</w:t>
      </w:r>
    </w:p>
    <w:p>
      <w:pPr>
        <w:pStyle w:val="ListBullet"/>
        <w:spacing w:before="40" w:after="60" w:line="276" w:lineRule="auto"/>
      </w:pPr>
      <w:r>
        <w:rPr>
          <w:rFonts w:ascii="Segoe UI" w:hAnsi="Segoe UI"/>
          <w:b/>
          <w:color w:val="1E293B"/>
          <w:sz w:val="19"/>
        </w:rPr>
        <w:t>Path A (Formal Courier)</w:t>
      </w:r>
      <w:r>
        <w:rPr>
          <w:rFonts w:ascii="Segoe UI" w:hAnsi="Segoe UI"/>
          <w:b w:val="0"/>
          <w:color w:val="1E293B"/>
          <w:sz w:val="19"/>
        </w:rPr>
        <w:t xml:space="preserve">: Integrated with carrier webhooks (DHL, Speedaf, FedEx, UPS, EMS). Delivery is verified automatically when the carrier updates package status to </w:t>
      </w:r>
      <w:r>
        <w:rPr>
          <w:rFonts w:ascii="Consolas" w:hAnsi="Consolas"/>
          <w:b/>
          <w:color w:val="0363FF"/>
          <w:sz w:val="18"/>
        </w:rPr>
        <w:t>DELIVERED</w:t>
      </w:r>
      <w:r>
        <w:rPr>
          <w:rFonts w:ascii="Segoe UI" w:hAnsi="Segoe UI"/>
          <w:b w:val="0"/>
          <w:color w:val="1E293B"/>
          <w:sz w:val="19"/>
        </w:rPr>
        <w:t>.</w:t>
      </w:r>
    </w:p>
    <w:p>
      <w:pPr>
        <w:pStyle w:val="ListBullet"/>
        <w:spacing w:before="40" w:after="60" w:line="276" w:lineRule="auto"/>
      </w:pPr>
      <w:r>
        <w:rPr>
          <w:rFonts w:ascii="Segoe UI" w:hAnsi="Segoe UI"/>
          <w:b/>
          <w:color w:val="1E293B"/>
          <w:sz w:val="19"/>
        </w:rPr>
        <w:t>Path B (Informal Bus / Station)</w:t>
      </w:r>
      <w:r>
        <w:rPr>
          <w:rFonts w:ascii="Segoe UI" w:hAnsi="Segoe UI"/>
          <w:b w:val="0"/>
          <w:color w:val="1E293B"/>
          <w:sz w:val="19"/>
        </w:rPr>
        <w:t>: Verified when the Buyer presents a Secret 6-Digit OTP to the station driver, or manually confirms receipt.</w:t>
      </w:r>
    </w:p>
    <w:p>
      <w:pPr>
        <w:keepNext/>
        <w:spacing w:before="200" w:after="60"/>
      </w:pPr>
      <w:r>
        <w:rPr>
          <w:rFonts w:ascii="Segoe UI" w:hAnsi="Segoe UI"/>
          <w:b/>
          <w:color w:val="0363FF"/>
          <w:sz w:val="21"/>
        </w:rPr>
        <w:t>8.2 Tiered Inspection Window</w:t>
      </w:r>
    </w:p>
    <w:p>
      <w:pPr>
        <w:spacing w:before="60" w:after="100" w:line="276" w:lineRule="auto"/>
      </w:pPr>
      <w:r>
        <w:rPr>
          <w:rFonts w:ascii="Segoe UI" w:hAnsi="Segoe UI"/>
          <w:b w:val="0"/>
          <w:color w:val="1E293B"/>
          <w:sz w:val="19"/>
        </w:rPr>
        <w:t>Once delivery is verified, the Buyer Inspection Period commences:</w:t>
      </w:r>
    </w:p>
    <w:p>
      <w:pPr>
        <w:pStyle w:val="ListBullet"/>
        <w:spacing w:before="40" w:after="60" w:line="276" w:lineRule="auto"/>
      </w:pPr>
      <w:r>
        <w:rPr>
          <w:rFonts w:ascii="Segoe UI" w:hAnsi="Segoe UI"/>
          <w:b/>
          <w:color w:val="1E293B"/>
          <w:sz w:val="19"/>
        </w:rPr>
        <w:t>Orders &lt; GHS 2,000</w:t>
      </w:r>
      <w:r>
        <w:rPr>
          <w:rFonts w:ascii="Segoe UI" w:hAnsi="Segoe UI"/>
          <w:b w:val="0"/>
          <w:color w:val="1E293B"/>
          <w:sz w:val="19"/>
        </w:rPr>
        <w:t>: 24 Hours</w:t>
      </w:r>
    </w:p>
    <w:p>
      <w:pPr>
        <w:pStyle w:val="ListBullet"/>
        <w:spacing w:before="40" w:after="60" w:line="276" w:lineRule="auto"/>
      </w:pPr>
      <w:r>
        <w:rPr>
          <w:rFonts w:ascii="Segoe UI" w:hAnsi="Segoe UI"/>
          <w:b/>
          <w:color w:val="1E293B"/>
          <w:sz w:val="19"/>
        </w:rPr>
        <w:t>Orders GHS 2,000 – GHS 9,999.99</w:t>
      </w:r>
      <w:r>
        <w:rPr>
          <w:rFonts w:ascii="Segoe UI" w:hAnsi="Segoe UI"/>
          <w:b w:val="0"/>
          <w:color w:val="1E293B"/>
          <w:sz w:val="19"/>
        </w:rPr>
        <w:t>: 48 Hours</w:t>
      </w:r>
    </w:p>
    <w:p>
      <w:pPr>
        <w:pStyle w:val="ListBullet"/>
        <w:spacing w:before="40" w:after="60" w:line="276" w:lineRule="auto"/>
      </w:pPr>
      <w:r>
        <w:rPr>
          <w:rFonts w:ascii="Segoe UI" w:hAnsi="Segoe UI"/>
          <w:b/>
          <w:color w:val="1E293B"/>
          <w:sz w:val="19"/>
        </w:rPr>
        <w:t>Orders $\ge$ GHS 10,000</w:t>
      </w:r>
      <w:r>
        <w:rPr>
          <w:rFonts w:ascii="Segoe UI" w:hAnsi="Segoe UI"/>
          <w:b w:val="0"/>
          <w:color w:val="1E293B"/>
          <w:sz w:val="19"/>
        </w:rPr>
        <w:t>: 72 Hours</w:t>
      </w:r>
    </w:p>
    <w:p>
      <w:pPr>
        <w:keepNext/>
        <w:spacing w:before="200" w:after="60"/>
      </w:pPr>
      <w:r>
        <w:rPr>
          <w:rFonts w:ascii="Segoe UI" w:hAnsi="Segoe UI"/>
          <w:b/>
          <w:color w:val="0363FF"/>
          <w:sz w:val="21"/>
        </w:rPr>
        <w:t>8.3 CRITICAL: Irreversibility of Inspection Expiry</w:t>
      </w:r>
    </w:p>
    <w:tbl>
      <w:tblPr>
        <w:tblW w:type="auto" w:w="0"/>
        <w:jc w:val="center"/>
        <w:tblLayout w:type="fixed"/>
        <w:tblLook w:firstColumn="1" w:firstRow="1" w:lastColumn="0" w:lastRow="0" w:noHBand="0" w:noVBand="1" w:val="04A0"/>
      </w:tblPr>
      <w:tblGrid>
        <w:gridCol w:w="9936"/>
      </w:tblGrid>
      <w:tr>
        <w:tc>
          <w:tcPr>
            <w:tcW w:type="dxa" w:w="9936"/>
            <w:shd w:fill="FFFBEB"/>
            <w:tcBorders>
              <w:top w:val="none"/>
              <w:left w:val="single" w:sz="24" w:space="0" w:color="F59E0B"/>
              <w:bottom w:val="none"/>
              <w:right w:val="none"/>
            </w:tcBorders>
            <w:tcMar>
              <w:top w:w="140" w:type="dxa"/>
              <w:bottom w:w="140" w:type="dxa"/>
              <w:left w:w="200" w:type="dxa"/>
              <w:right w:w="160" w:type="dxa"/>
            </w:tcMar>
          </w:tcPr>
          <w:p>
            <w:pPr>
              <w:spacing w:before="0" w:after="80"/>
            </w:pPr>
            <w:r>
              <w:rPr>
                <w:rFonts w:ascii="Segoe UI" w:hAnsi="Segoe UI"/>
                <w:b/>
                <w:color w:val="92400E"/>
                <w:sz w:val="19"/>
              </w:rPr>
              <w:t>⚠️ CRITICAL LEGAL NOTICE &amp; INDEMNITY REQUIREMENT</w:t>
            </w:r>
          </w:p>
          <w:p>
            <w:pPr>
              <w:spacing w:before="40" w:after="40" w:line="276" w:lineRule="auto"/>
            </w:pPr>
            <w:r>
              <w:rPr>
                <w:rFonts w:ascii="Segoe UI" w:hAnsi="Segoe UI"/>
                <w:b/>
                <w:color w:val="92400E"/>
                <w:sz w:val="18"/>
              </w:rPr>
              <w:t>Upon the expiration of the tiered Inspection Period (or upon the Buyer manually confirming receipt via OTP), the escrow hold is permanently terminated, and funds are automatically transferred into the Seller’s Wallet.</w:t>
            </w:r>
          </w:p>
        </w:tc>
      </w:tr>
    </w:tbl>
    <w:p>
      <w:pPr>
        <w:spacing w:before="0" w:after="80"/>
      </w:pPr>
    </w:p>
    <w:p>
      <w:pPr>
        <w:spacing w:before="60" w:after="100" w:line="276" w:lineRule="auto"/>
      </w:pPr>
      <w:r>
        <w:rPr>
          <w:rFonts w:ascii="Segoe UI" w:hAnsi="Segoe UI"/>
          <w:b/>
          <w:color w:val="1E293B"/>
          <w:sz w:val="19"/>
        </w:rPr>
        <w:t>AFTER THE INSPECTION PERIOD EXPIRES OR RECEIPT IS CONFIRMED:</w:t>
      </w:r>
    </w:p>
    <w:p>
      <w:pPr>
        <w:pStyle w:val="ListBullet"/>
        <w:spacing w:before="40" w:after="60" w:line="276" w:lineRule="auto"/>
      </w:pPr>
      <w:r>
        <w:rPr>
          <w:rFonts w:ascii="Segoe UI" w:hAnsi="Segoe UI"/>
          <w:b/>
          <w:color w:val="1E293B"/>
          <w:sz w:val="19"/>
        </w:rPr>
        <w:t>No disputes can be opened on the Platform.</w:t>
      </w:r>
    </w:p>
    <w:p>
      <w:pPr>
        <w:pStyle w:val="ListBullet"/>
        <w:spacing w:before="40" w:after="60" w:line="276" w:lineRule="auto"/>
      </w:pPr>
      <w:r>
        <w:rPr>
          <w:rFonts w:ascii="Segoe UI" w:hAnsi="Segoe UI"/>
          <w:b/>
          <w:color w:val="1E293B"/>
          <w:sz w:val="19"/>
        </w:rPr>
        <w:t>No refunds or chargebacks will be processed by HendAxis Trust.</w:t>
      </w:r>
    </w:p>
    <w:p>
      <w:pPr>
        <w:pStyle w:val="ListBullet"/>
        <w:spacing w:before="40" w:after="60" w:line="276" w:lineRule="auto"/>
      </w:pPr>
      <w:r>
        <w:rPr>
          <w:rFonts w:ascii="Segoe UI" w:hAnsi="Segoe UI"/>
          <w:b/>
          <w:color w:val="1E293B"/>
          <w:sz w:val="19"/>
        </w:rPr>
        <w:t>All funds belong unconditionally to the Seller.</w:t>
      </w:r>
    </w:p>
    <w:p>
      <w:pPr>
        <w:pStyle w:val="ListBullet"/>
        <w:spacing w:before="40" w:after="60" w:line="276" w:lineRule="auto"/>
      </w:pPr>
      <w:r>
        <w:rPr>
          <w:rFonts w:ascii="Segoe UI" w:hAnsi="Segoe UI"/>
          <w:b w:val="0"/>
          <w:color w:val="1E293B"/>
          <w:sz w:val="19"/>
        </w:rPr>
        <w:t>Buyers explicitly waive all rights to claim platform arbitration once the inspection period has elapsed. Any post-inspection recourse must be pursued independently between the Buyer and Seller outside of HendAxis Trust.</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9. Disputes, Dialogue Trail, Retraction &amp; Item Returns</w:t>
      </w:r>
    </w:p>
    <w:p>
      <w:pPr>
        <w:keepNext/>
        <w:spacing w:before="200" w:after="60"/>
      </w:pPr>
      <w:r>
        <w:rPr>
          <w:rFonts w:ascii="Segoe UI" w:hAnsi="Segoe UI"/>
          <w:b/>
          <w:color w:val="0363FF"/>
          <w:sz w:val="21"/>
        </w:rPr>
        <w:t>9.1 Dispute Initiation &amp; Subsequent Evidence Appending</w:t>
      </w:r>
    </w:p>
    <w:p>
      <w:pPr>
        <w:spacing w:before="60" w:after="100" w:line="276" w:lineRule="auto"/>
      </w:pPr>
      <w:r>
        <w:rPr>
          <w:rFonts w:ascii="Segoe UI" w:hAnsi="Segoe UI"/>
          <w:b w:val="0"/>
          <w:color w:val="1E293B"/>
          <w:sz w:val="19"/>
        </w:rPr>
        <w:t xml:space="preserve">If a Buyer receives a damaged, defective, or incorrect item, they must click </w:t>
      </w:r>
      <w:r>
        <w:rPr>
          <w:rFonts w:ascii="Segoe UI" w:hAnsi="Segoe UI"/>
          <w:b/>
          <w:color w:val="1E293B"/>
          <w:sz w:val="19"/>
        </w:rPr>
        <w:t>Raise Dispute</w:t>
      </w:r>
      <w:r>
        <w:rPr>
          <w:rFonts w:ascii="Segoe UI" w:hAnsi="Segoe UI"/>
          <w:b w:val="0"/>
          <w:color w:val="1E293B"/>
          <w:sz w:val="19"/>
        </w:rPr>
        <w:t xml:space="preserve"> on their tracking page </w:t>
      </w:r>
      <w:r>
        <w:rPr>
          <w:rFonts w:ascii="Segoe UI" w:hAnsi="Segoe UI"/>
          <w:b/>
          <w:color w:val="1E293B"/>
          <w:sz w:val="19"/>
        </w:rPr>
        <w:t>before the Inspection Period expires</w:t>
      </w:r>
      <w:r>
        <w:rPr>
          <w:rFonts w:ascii="Segoe UI" w:hAnsi="Segoe UI"/>
          <w:b w:val="0"/>
          <w:color w:val="1E293B"/>
          <w:sz w:val="19"/>
        </w:rPr>
        <w:t>. Raising a dispute immediately freezes escrow funds and halts automated payouts.</w:t>
      </w:r>
    </w:p>
    <w:p>
      <w:pPr>
        <w:pStyle w:val="ListBullet"/>
        <w:spacing w:before="40" w:after="60" w:line="276" w:lineRule="auto"/>
      </w:pPr>
      <w:r>
        <w:rPr>
          <w:rFonts w:ascii="Segoe UI" w:hAnsi="Segoe UI"/>
          <w:b/>
          <w:color w:val="1E293B"/>
          <w:sz w:val="19"/>
        </w:rPr>
        <w:t>Continuous Dialogue &amp; Evidence Trail</w:t>
      </w:r>
      <w:r>
        <w:rPr>
          <w:rFonts w:ascii="Segoe UI" w:hAnsi="Segoe UI"/>
          <w:b w:val="0"/>
          <w:color w:val="1E293B"/>
          <w:sz w:val="19"/>
        </w:rPr>
        <w:t>: Both Buyers and Sellers can append subsequent statements, clarifications, and photo evidence to active disputes without overwriting existing history.</w:t>
      </w:r>
    </w:p>
    <w:p>
      <w:pPr>
        <w:pStyle w:val="ListBullet"/>
        <w:spacing w:before="40" w:after="60" w:line="276" w:lineRule="auto"/>
      </w:pPr>
      <w:r>
        <w:rPr>
          <w:rFonts w:ascii="Segoe UI" w:hAnsi="Segoe UI"/>
          <w:b/>
          <w:color w:val="1E293B"/>
          <w:sz w:val="19"/>
        </w:rPr>
        <w:t>Evidence Limit</w:t>
      </w:r>
      <w:r>
        <w:rPr>
          <w:rFonts w:ascii="Segoe UI" w:hAnsi="Segoe UI"/>
          <w:b w:val="0"/>
          <w:color w:val="1E293B"/>
          <w:sz w:val="19"/>
        </w:rPr>
        <w:t xml:space="preserve">: Parties can accumulate up to </w:t>
      </w:r>
      <w:r>
        <w:rPr>
          <w:rFonts w:ascii="Segoe UI" w:hAnsi="Segoe UI"/>
          <w:b/>
          <w:color w:val="1E293B"/>
          <w:sz w:val="19"/>
        </w:rPr>
        <w:t>5 WebP photographic evidence files</w:t>
      </w:r>
      <w:r>
        <w:rPr>
          <w:rFonts w:ascii="Segoe UI" w:hAnsi="Segoe UI"/>
          <w:b w:val="0"/>
          <w:color w:val="1E293B"/>
          <w:sz w:val="19"/>
        </w:rPr>
        <w:t xml:space="preserve"> throughout the dispute lifecycle.</w:t>
      </w:r>
    </w:p>
    <w:p>
      <w:pPr>
        <w:pStyle w:val="ListBullet"/>
        <w:spacing w:before="40" w:after="60" w:line="276" w:lineRule="auto"/>
      </w:pPr>
      <w:r>
        <w:rPr>
          <w:rFonts w:ascii="Segoe UI" w:hAnsi="Segoe UI"/>
          <w:b/>
          <w:color w:val="1E293B"/>
          <w:sz w:val="19"/>
        </w:rPr>
        <w:t>Transparent Audit</w:t>
      </w:r>
      <w:r>
        <w:rPr>
          <w:rFonts w:ascii="Segoe UI" w:hAnsi="Segoe UI"/>
          <w:b w:val="0"/>
          <w:color w:val="1E293B"/>
          <w:sz w:val="19"/>
        </w:rPr>
        <w:t>: All statements are recorded with chronological timestamps in the unified WhatsApp-style dispute timeline.</w:t>
      </w:r>
    </w:p>
    <w:p>
      <w:pPr>
        <w:keepNext/>
        <w:spacing w:before="200" w:after="60"/>
      </w:pPr>
      <w:r>
        <w:rPr>
          <w:rFonts w:ascii="Segoe UI" w:hAnsi="Segoe UI"/>
          <w:b/>
          <w:color w:val="0363FF"/>
          <w:sz w:val="21"/>
        </w:rPr>
        <w:t>9.2 Arbitration &amp; 24-Hour Settlement</w:t>
      </w:r>
    </w:p>
    <w:p>
      <w:pPr>
        <w:spacing w:before="60" w:after="100" w:line="276" w:lineRule="auto"/>
      </w:pPr>
      <w:r>
        <w:rPr>
          <w:rFonts w:ascii="Segoe UI" w:hAnsi="Segoe UI"/>
          <w:b w:val="0"/>
          <w:color w:val="1E293B"/>
          <w:sz w:val="19"/>
        </w:rPr>
        <w:t xml:space="preserve">HendAxis Trust support management will review all uploaded evidence (photos, description, dispatch proof, and dialogue history) and issue a </w:t>
      </w:r>
      <w:r>
        <w:rPr>
          <w:rFonts w:ascii="Segoe UI" w:hAnsi="Segoe UI"/>
          <w:b/>
          <w:color w:val="1E293B"/>
          <w:sz w:val="19"/>
        </w:rPr>
        <w:t>final binding ruling within 24 hours</w:t>
      </w:r>
      <w:r>
        <w:rPr>
          <w:rFonts w:ascii="Segoe UI" w:hAnsi="Segoe UI"/>
          <w:b w:val="0"/>
          <w:color w:val="1E293B"/>
          <w:sz w:val="19"/>
        </w:rPr>
        <w:t>.</w:t>
      </w:r>
    </w:p>
    <w:p>
      <w:pPr>
        <w:keepNext/>
        <w:spacing w:before="200" w:after="60"/>
      </w:pPr>
      <w:r>
        <w:rPr>
          <w:rFonts w:ascii="Segoe UI" w:hAnsi="Segoe UI"/>
          <w:b/>
          <w:color w:val="0363FF"/>
          <w:sz w:val="21"/>
        </w:rPr>
        <w:t>9.3 Buyer Item Return Obligations (`REQUIRE_RETURN_FROM_BUYER`)</w:t>
      </w:r>
    </w:p>
    <w:p>
      <w:pPr>
        <w:spacing w:before="60" w:after="100" w:line="276" w:lineRule="auto"/>
      </w:pPr>
      <w:r>
        <w:rPr>
          <w:rFonts w:ascii="Segoe UI" w:hAnsi="Segoe UI"/>
          <w:b w:val="0"/>
          <w:color w:val="1E293B"/>
          <w:sz w:val="19"/>
        </w:rPr>
        <w:t>Where a dispute ruling requires the Buyer to return the item to the Seller:</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Return Dispatch</w:t>
      </w:r>
      <w:r>
        <w:rPr>
          <w:rFonts w:ascii="Segoe UI" w:hAnsi="Segoe UI"/>
          <w:b w:val="0"/>
          <w:color w:val="1E293B"/>
          <w:sz w:val="19"/>
        </w:rPr>
        <w:t>: The Buyer must ship the item back within the specified return window via Courier (with waybill &amp; tracking number) or Bus transport (with driver phone, car registration, and station details).</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Reverse Pickup OTP</w:t>
      </w:r>
      <w:r>
        <w:rPr>
          <w:rFonts w:ascii="Segoe UI" w:hAnsi="Segoe UI"/>
          <w:b w:val="0"/>
          <w:color w:val="1E293B"/>
          <w:sz w:val="19"/>
        </w:rPr>
        <w:t xml:space="preserve">: For bus returns, a </w:t>
      </w:r>
      <w:r>
        <w:rPr>
          <w:rFonts w:ascii="Segoe UI" w:hAnsi="Segoe UI"/>
          <w:b/>
          <w:color w:val="1E293B"/>
          <w:sz w:val="19"/>
        </w:rPr>
        <w:t>Secret 6-Digit Reverse OTP</w:t>
      </w:r>
      <w:r>
        <w:rPr>
          <w:rFonts w:ascii="Segoe UI" w:hAnsi="Segoe UI"/>
          <w:b w:val="0"/>
          <w:color w:val="1E293B"/>
          <w:sz w:val="19"/>
        </w:rPr>
        <w:t xml:space="preserve"> is generated. The Seller must inspect the returned parcel and verify the Reverse OTP (or confirm receipt in app) to unlock the full refund payout to the Buyer.</w:t>
      </w:r>
    </w:p>
    <w:p>
      <w:pPr>
        <w:spacing w:before="40" w:after="60" w:line="276" w:lineRule="auto"/>
        <w:ind w:left="360"/>
      </w:pPr>
      <w:r>
        <w:rPr>
          <w:rFonts w:ascii="Segoe UI" w:hAnsi="Segoe UI"/>
          <w:b/>
          <w:color w:val="0F172A"/>
          <w:sz w:val="19"/>
        </w:rPr>
        <w:t xml:space="preserve">3. </w:t>
      </w:r>
      <w:r>
        <w:rPr>
          <w:rFonts w:ascii="Segoe UI" w:hAnsi="Segoe UI"/>
          <w:b/>
          <w:color w:val="1E293B"/>
          <w:sz w:val="19"/>
        </w:rPr>
        <w:t>Auto-Refund Window</w:t>
      </w:r>
      <w:r>
        <w:rPr>
          <w:rFonts w:ascii="Segoe UI" w:hAnsi="Segoe UI"/>
          <w:b w:val="0"/>
          <w:color w:val="1E293B"/>
          <w:sz w:val="19"/>
        </w:rPr>
        <w:t>: If the Seller receives the returned item but fails to object within 48 hours of return delivery, the system will automatically process the Buyer’s refund.</w:t>
      </w:r>
    </w:p>
    <w:p>
      <w:pPr>
        <w:keepNext/>
        <w:spacing w:before="200" w:after="60"/>
      </w:pPr>
      <w:r>
        <w:rPr>
          <w:rFonts w:ascii="Segoe UI" w:hAnsi="Segoe UI"/>
          <w:b/>
          <w:color w:val="0363FF"/>
          <w:sz w:val="21"/>
        </w:rPr>
        <w:t>9.4 Dispute Retraction &amp; Private Settlement Policy</w:t>
      </w:r>
    </w:p>
    <w:p>
      <w:pPr>
        <w:spacing w:before="60" w:after="100" w:line="276" w:lineRule="auto"/>
      </w:pPr>
      <w:r>
        <w:rPr>
          <w:rFonts w:ascii="Segoe UI" w:hAnsi="Segoe UI"/>
          <w:b w:val="0"/>
          <w:color w:val="1E293B"/>
          <w:sz w:val="19"/>
        </w:rPr>
        <w:t xml:space="preserve">If a Buyer and Seller resolve their grievances privately (e.g., replacement sent, direct discount, or technical assistance), the Buyer may elect to </w:t>
      </w:r>
      <w:r>
        <w:rPr>
          <w:rFonts w:ascii="Segoe UI" w:hAnsi="Segoe UI"/>
          <w:b/>
          <w:color w:val="1E293B"/>
          <w:sz w:val="19"/>
        </w:rPr>
        <w:t>Retract Dispute</w:t>
      </w:r>
      <w:r>
        <w:rPr>
          <w:rFonts w:ascii="Segoe UI" w:hAnsi="Segoe UI"/>
          <w:b w:val="0"/>
          <w:color w:val="1E293B"/>
          <w:sz w:val="19"/>
        </w:rPr>
        <w:t xml:space="preserve"> directly via their tracking portal.</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24-Hour Delayed Settlement Window</w:t>
      </w:r>
      <w:r>
        <w:rPr>
          <w:rFonts w:ascii="Segoe UI" w:hAnsi="Segoe UI"/>
          <w:b w:val="0"/>
          <w:color w:val="1E293B"/>
          <w:sz w:val="19"/>
        </w:rPr>
        <w:t xml:space="preserve">: Upon dispute retraction, the transaction transitions into </w:t>
      </w:r>
      <w:r>
        <w:rPr>
          <w:rFonts w:ascii="Consolas" w:hAnsi="Consolas"/>
          <w:b/>
          <w:color w:val="0363FF"/>
          <w:sz w:val="18"/>
        </w:rPr>
        <w:t>RETRACTED_SETTLING</w:t>
      </w:r>
      <w:r>
        <w:rPr>
          <w:rFonts w:ascii="Segoe UI" w:hAnsi="Segoe UI"/>
          <w:b w:val="0"/>
          <w:color w:val="1E293B"/>
          <w:sz w:val="19"/>
        </w:rPr>
        <w:t xml:space="preserve"> status. Escrow funds are held for </w:t>
      </w:r>
      <w:r>
        <w:rPr>
          <w:rFonts w:ascii="Segoe UI" w:hAnsi="Segoe UI"/>
          <w:b/>
          <w:color w:val="1E293B"/>
          <w:sz w:val="19"/>
        </w:rPr>
        <w:t>24 hours</w:t>
      </w:r>
      <w:r>
        <w:rPr>
          <w:rFonts w:ascii="Segoe UI" w:hAnsi="Segoe UI"/>
          <w:b w:val="0"/>
          <w:color w:val="1E293B"/>
          <w:sz w:val="19"/>
        </w:rPr>
        <w:t xml:space="preserve"> (or the administrative configured settlement period) before releasing to the Seller's wallet. This grace period prevents accidental or coerced retractions.</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Rating Permanently Voided</w:t>
      </w:r>
      <w:r>
        <w:rPr>
          <w:rFonts w:ascii="Segoe UI" w:hAnsi="Segoe UI"/>
          <w:b w:val="0"/>
          <w:color w:val="1E293B"/>
          <w:sz w:val="19"/>
        </w:rPr>
        <w:t>: Once a dispute is raised—even if subsequently retracted—the Buyer forfeits the ability to submit a merchant satisfaction rating (</w:t>
      </w:r>
      <w:r>
        <w:rPr>
          <w:rFonts w:ascii="Consolas" w:hAnsi="Consolas"/>
          <w:b/>
          <w:color w:val="0363FF"/>
          <w:sz w:val="18"/>
        </w:rPr>
        <w:t>rating_voided = True</w:t>
      </w:r>
      <w:r>
        <w:rPr>
          <w:rFonts w:ascii="Segoe UI" w:hAnsi="Segoe UI"/>
          <w:b w:val="0"/>
          <w:color w:val="1E293B"/>
          <w:sz w:val="19"/>
        </w:rPr>
        <w:t>). This prevents coercive settlement deals made under the threat of negative reviews.</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10. Merchant Identity Verification, Health Governance &amp; Suspension Appeals</w:t>
      </w:r>
    </w:p>
    <w:p>
      <w:pPr>
        <w:keepNext/>
        <w:spacing w:before="200" w:after="60"/>
      </w:pPr>
      <w:r>
        <w:rPr>
          <w:rFonts w:ascii="Segoe UI" w:hAnsi="Segoe UI"/>
          <w:b/>
          <w:color w:val="0363FF"/>
          <w:sz w:val="21"/>
        </w:rPr>
        <w:t>10.1 Verification Rules</w:t>
      </w:r>
    </w:p>
    <w:p>
      <w:pPr>
        <w:pStyle w:val="ListBullet"/>
        <w:spacing w:before="40" w:after="60" w:line="276" w:lineRule="auto"/>
      </w:pPr>
      <w:r>
        <w:rPr>
          <w:rFonts w:ascii="Segoe UI" w:hAnsi="Segoe UI"/>
          <w:b w:val="0"/>
          <w:color w:val="1E293B"/>
          <w:sz w:val="19"/>
        </w:rPr>
        <w:t xml:space="preserve">The </w:t>
      </w:r>
      <w:r>
        <w:rPr>
          <w:rFonts w:ascii="Segoe UI" w:hAnsi="Segoe UI"/>
          <w:b/>
          <w:color w:val="1E293B"/>
          <w:sz w:val="19"/>
        </w:rPr>
        <w:t>Verified Seller [Verified]</w:t>
      </w:r>
      <w:r>
        <w:rPr>
          <w:rFonts w:ascii="Segoe UI" w:hAnsi="Segoe UI"/>
          <w:b w:val="0"/>
          <w:color w:val="1E293B"/>
          <w:sz w:val="19"/>
        </w:rPr>
        <w:t xml:space="preserve"> badge is granted </w:t>
      </w:r>
      <w:r>
        <w:rPr>
          <w:rFonts w:ascii="Segoe UI" w:hAnsi="Segoe UI"/>
          <w:b/>
          <w:color w:val="1E293B"/>
          <w:sz w:val="19"/>
        </w:rPr>
        <w:t>exclusively</w:t>
      </w:r>
      <w:r>
        <w:rPr>
          <w:rFonts w:ascii="Segoe UI" w:hAnsi="Segoe UI"/>
          <w:b w:val="0"/>
          <w:color w:val="1E293B"/>
          <w:sz w:val="19"/>
        </w:rPr>
        <w:t xml:space="preserve"> via manual inspection of Ghana Card / National ID and Business Registration documents by HendAxis Trust administration.</w:t>
      </w:r>
    </w:p>
    <w:p>
      <w:pPr>
        <w:pStyle w:val="ListBullet"/>
        <w:spacing w:before="40" w:after="60" w:line="276" w:lineRule="auto"/>
      </w:pPr>
      <w:r>
        <w:rPr>
          <w:rFonts w:ascii="Segoe UI" w:hAnsi="Segoe UI"/>
          <w:b w:val="0"/>
          <w:color w:val="1E293B"/>
          <w:sz w:val="19"/>
        </w:rPr>
        <w:t xml:space="preserve">Completed transactions do not automatically grant Verified status. Unverified stores will display as </w:t>
      </w:r>
      <w:r>
        <w:rPr>
          <w:rFonts w:ascii="Consolas" w:hAnsi="Consolas"/>
          <w:b/>
          <w:color w:val="0363FF"/>
          <w:sz w:val="18"/>
        </w:rPr>
        <w:t>[New] New Shop</w:t>
      </w:r>
      <w:r>
        <w:rPr>
          <w:rFonts w:ascii="Segoe UI" w:hAnsi="Segoe UI"/>
          <w:b w:val="0"/>
          <w:color w:val="1E293B"/>
          <w:sz w:val="19"/>
        </w:rPr>
        <w:t>.</w:t>
      </w:r>
    </w:p>
    <w:p>
      <w:pPr>
        <w:pStyle w:val="ListBullet"/>
        <w:spacing w:before="40" w:after="60" w:line="276" w:lineRule="auto"/>
      </w:pPr>
      <w:r>
        <w:rPr>
          <w:rFonts w:ascii="Segoe UI" w:hAnsi="Segoe UI"/>
          <w:b w:val="0"/>
          <w:color w:val="1E293B"/>
          <w:sz w:val="19"/>
        </w:rPr>
        <w:t>Submitting fraudulent identity documents will result in immediate account termination, wallet freezing, and referral to law enforcement agencies (Ghana Police Service / Cyber Security Authority).</w:t>
      </w:r>
    </w:p>
    <w:p>
      <w:pPr>
        <w:keepNext/>
        <w:spacing w:before="200" w:after="60"/>
      </w:pPr>
      <w:r>
        <w:rPr>
          <w:rFonts w:ascii="Segoe UI" w:hAnsi="Segoe UI"/>
          <w:b/>
          <w:color w:val="0363FF"/>
          <w:sz w:val="21"/>
        </w:rPr>
        <w:t>10.2 Account Suspension, In-Flight Orders &amp; Reinstatement Appeals</w:t>
      </w:r>
    </w:p>
    <w:p>
      <w:pPr>
        <w:pStyle w:val="ListBullet"/>
        <w:spacing w:before="40" w:after="60" w:line="276" w:lineRule="auto"/>
      </w:pPr>
      <w:r>
        <w:rPr>
          <w:rFonts w:ascii="Segoe UI" w:hAnsi="Segoe UI"/>
          <w:b/>
          <w:color w:val="1E293B"/>
          <w:sz w:val="19"/>
        </w:rPr>
        <w:t>Suspension Enforcement</w:t>
      </w:r>
      <w:r>
        <w:rPr>
          <w:rFonts w:ascii="Segoe UI" w:hAnsi="Segoe UI"/>
          <w:b w:val="0"/>
          <w:color w:val="1E293B"/>
          <w:sz w:val="19"/>
        </w:rPr>
        <w:t>: Accounts suspended due to high dispute rates ($\ge 40\%$), low customer ratings ($&lt; 2.0$ stars), or high dispatch expiry rates ($\ge 35\%$) will have active payment links disabled and cannot generate new links.</w:t>
      </w:r>
    </w:p>
    <w:p>
      <w:pPr>
        <w:pStyle w:val="ListBullet"/>
        <w:spacing w:before="40" w:after="60" w:line="276" w:lineRule="auto"/>
      </w:pPr>
      <w:r>
        <w:rPr>
          <w:rFonts w:ascii="Segoe UI" w:hAnsi="Segoe UI"/>
          <w:b/>
          <w:color w:val="1E293B"/>
          <w:sz w:val="19"/>
        </w:rPr>
        <w:t>In-Flight Order Continuity</w:t>
      </w:r>
      <w:r>
        <w:rPr>
          <w:rFonts w:ascii="Segoe UI" w:hAnsi="Segoe UI"/>
          <w:b w:val="0"/>
          <w:color w:val="1E293B"/>
          <w:sz w:val="19"/>
        </w:rPr>
        <w:t>: In-flight orders paid prior to suspension remain active and proceed to normal delivery, inspection, and settlement.</w:t>
      </w:r>
    </w:p>
    <w:p>
      <w:pPr>
        <w:pStyle w:val="ListBullet"/>
        <w:spacing w:before="40" w:after="60" w:line="276" w:lineRule="auto"/>
      </w:pPr>
      <w:r>
        <w:rPr>
          <w:rFonts w:ascii="Segoe UI" w:hAnsi="Segoe UI"/>
          <w:b/>
          <w:color w:val="1E293B"/>
          <w:sz w:val="19"/>
        </w:rPr>
        <w:t>Suspension Appeals</w:t>
      </w:r>
      <w:r>
        <w:rPr>
          <w:rFonts w:ascii="Segoe UI" w:hAnsi="Segoe UI"/>
          <w:b w:val="0"/>
          <w:color w:val="1E293B"/>
          <w:sz w:val="19"/>
        </w:rPr>
        <w:t>: Suspended merchants may submit a formal appeal with remediation steps via their dashboard.</w:t>
      </w:r>
    </w:p>
    <w:p>
      <w:pPr>
        <w:pStyle w:val="ListBullet"/>
        <w:spacing w:before="40" w:after="60" w:line="276" w:lineRule="auto"/>
      </w:pPr>
      <w:r>
        <w:rPr>
          <w:rFonts w:ascii="Segoe UI" w:hAnsi="Segoe UI"/>
          <w:b/>
          <w:color w:val="1E293B"/>
          <w:sz w:val="19"/>
        </w:rPr>
        <w:t>Reinstatement &amp; Clean Slate</w:t>
      </w:r>
      <w:r>
        <w:rPr>
          <w:rFonts w:ascii="Segoe UI" w:hAnsi="Segoe UI"/>
          <w:b w:val="0"/>
          <w:color w:val="1E293B"/>
          <w:sz w:val="19"/>
        </w:rPr>
        <w:t>: When an appeal is approved by platform administrators, the seller is granted a clean slate (</w:t>
      </w:r>
      <w:r>
        <w:rPr>
          <w:rFonts w:ascii="Consolas" w:hAnsi="Consolas"/>
          <w:b/>
          <w:color w:val="0363FF"/>
          <w:sz w:val="18"/>
        </w:rPr>
        <w:t>reinstated_at = timezone.now()</w:t>
      </w:r>
      <w:r>
        <w:rPr>
          <w:rFonts w:ascii="Segoe UI" w:hAnsi="Segoe UI"/>
          <w:b w:val="0"/>
          <w:color w:val="1E293B"/>
          <w:sz w:val="19"/>
        </w:rPr>
        <w:t>). Only subsequent transactions will be evaluated for future health monitoring.</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11. System Enforcement &amp; User Consent Integration</w:t>
      </w:r>
    </w:p>
    <w:p>
      <w:pPr>
        <w:spacing w:before="60" w:after="100" w:line="276" w:lineRule="auto"/>
      </w:pPr>
      <w:r>
        <w:rPr>
          <w:rFonts w:ascii="Segoe UI" w:hAnsi="Segoe UI"/>
          <w:b w:val="0"/>
          <w:color w:val="1E293B"/>
          <w:sz w:val="19"/>
        </w:rPr>
        <w:t>To ensure full compliance across all platform touchpoints:</w:t>
      </w:r>
    </w:p>
    <w:p>
      <w:pPr>
        <w:spacing w:before="40" w:after="60" w:line="276" w:lineRule="auto"/>
        <w:ind w:left="360"/>
      </w:pPr>
      <w:r>
        <w:rPr>
          <w:rFonts w:ascii="Segoe UI" w:hAnsi="Segoe UI"/>
          <w:b/>
          <w:color w:val="0F172A"/>
          <w:sz w:val="19"/>
        </w:rPr>
        <w:t xml:space="preserve">1. </w:t>
      </w:r>
      <w:r>
        <w:rPr>
          <w:rFonts w:ascii="Segoe UI" w:hAnsi="Segoe UI"/>
          <w:b/>
          <w:color w:val="1E293B"/>
          <w:sz w:val="19"/>
        </w:rPr>
        <w:t>Merchant Registration</w:t>
      </w:r>
      <w:r>
        <w:rPr>
          <w:rFonts w:ascii="Segoe UI" w:hAnsi="Segoe UI"/>
          <w:b w:val="0"/>
          <w:color w:val="1E293B"/>
          <w:sz w:val="19"/>
        </w:rPr>
        <w:t>: Users must accept these Terms during account sign-up.</w:t>
      </w:r>
    </w:p>
    <w:p>
      <w:pPr>
        <w:spacing w:before="40" w:after="60" w:line="276" w:lineRule="auto"/>
        <w:ind w:left="360"/>
      </w:pPr>
      <w:r>
        <w:rPr>
          <w:rFonts w:ascii="Segoe UI" w:hAnsi="Segoe UI"/>
          <w:b/>
          <w:color w:val="0F172A"/>
          <w:sz w:val="19"/>
        </w:rPr>
        <w:t xml:space="preserve">2. </w:t>
      </w:r>
      <w:r>
        <w:rPr>
          <w:rFonts w:ascii="Segoe UI" w:hAnsi="Segoe UI"/>
          <w:b/>
          <w:color w:val="1E293B"/>
          <w:sz w:val="19"/>
        </w:rPr>
        <w:t>Payment Link Creation</w:t>
      </w:r>
      <w:r>
        <w:rPr>
          <w:rFonts w:ascii="Segoe UI" w:hAnsi="Segoe UI"/>
          <w:b w:val="0"/>
          <w:color w:val="1E293B"/>
          <w:sz w:val="19"/>
        </w:rPr>
        <w:t>: Sellers must acknowledge fee schedules, dispatch rules, packaging liabilities, and platform indemnity prior to link generation.</w:t>
      </w:r>
    </w:p>
    <w:p>
      <w:pPr>
        <w:spacing w:before="40" w:after="60" w:line="276" w:lineRule="auto"/>
        <w:ind w:left="360"/>
      </w:pPr>
      <w:r>
        <w:rPr>
          <w:rFonts w:ascii="Segoe UI" w:hAnsi="Segoe UI"/>
          <w:b/>
          <w:color w:val="0F172A"/>
          <w:sz w:val="19"/>
        </w:rPr>
        <w:t xml:space="preserve">3. </w:t>
      </w:r>
      <w:r>
        <w:rPr>
          <w:rFonts w:ascii="Segoe UI" w:hAnsi="Segoe UI"/>
          <w:b/>
          <w:color w:val="1E293B"/>
          <w:sz w:val="19"/>
        </w:rPr>
        <w:t>Buyer Checkout</w:t>
      </w:r>
      <w:r>
        <w:rPr>
          <w:rFonts w:ascii="Segoe UI" w:hAnsi="Segoe UI"/>
          <w:b w:val="0"/>
          <w:color w:val="1E293B"/>
          <w:sz w:val="19"/>
        </w:rPr>
        <w:t xml:space="preserve">: Buyers must explicitly check </w:t>
      </w:r>
      <w:r>
        <w:rPr>
          <w:rFonts w:ascii="Segoe UI" w:hAnsi="Segoe UI"/>
          <w:b/>
          <w:color w:val="1E293B"/>
          <w:sz w:val="19"/>
        </w:rPr>
        <w:t>"I agree to the HendAxis Trust Terms of Service and Inspection Expiry Rules"</w:t>
      </w:r>
      <w:r>
        <w:rPr>
          <w:rFonts w:ascii="Segoe UI" w:hAnsi="Segoe UI"/>
          <w:b w:val="0"/>
          <w:color w:val="1E293B"/>
          <w:sz w:val="19"/>
        </w:rPr>
        <w:t xml:space="preserve"> prior to initiating payment.</w:t>
      </w:r>
    </w:p>
    <w:p>
      <w:pPr>
        <w:spacing w:before="120" w:after="120"/>
      </w:pPr>
      <w:r>
        <w:rPr>
          <w:rFonts w:ascii="Segoe UI" w:hAnsi="Segoe UI"/>
          <w:color w:val="E2E8F0"/>
          <w:sz w:val="16"/>
        </w:rPr>
        <w:t>_________________________________________________________________________________</w:t>
      </w:r>
    </w:p>
    <w:p>
      <w:pPr>
        <w:keepNext/>
        <w:spacing w:before="280" w:after="80"/>
      </w:pPr>
      <w:r>
        <w:rPr>
          <w:rFonts w:ascii="Segoe UI" w:hAnsi="Segoe UI"/>
          <w:b/>
          <w:color w:val="0F172A"/>
          <w:sz w:val="26"/>
        </w:rPr>
        <w:t>12. Governing Law &amp; Dispute Jurisdiction</w:t>
      </w:r>
    </w:p>
    <w:p>
      <w:pPr>
        <w:spacing w:before="60" w:after="100" w:line="276" w:lineRule="auto"/>
      </w:pPr>
      <w:r>
        <w:rPr>
          <w:rFonts w:ascii="Segoe UI" w:hAnsi="Segoe UI"/>
          <w:b w:val="0"/>
          <w:color w:val="1E293B"/>
          <w:sz w:val="19"/>
        </w:rPr>
        <w:t xml:space="preserve">These Terms are governed by and construed in accordance with the laws of the </w:t>
      </w:r>
      <w:r>
        <w:rPr>
          <w:rFonts w:ascii="Segoe UI" w:hAnsi="Segoe UI"/>
          <w:b/>
          <w:color w:val="1E293B"/>
          <w:sz w:val="19"/>
        </w:rPr>
        <w:t>Republic of Ghana</w:t>
      </w:r>
      <w:r>
        <w:rPr>
          <w:rFonts w:ascii="Segoe UI" w:hAnsi="Segoe UI"/>
          <w:b w:val="0"/>
          <w:color w:val="1E293B"/>
          <w:sz w:val="19"/>
        </w:rPr>
        <w:t>. Any legal suit, action, or proceeding arising out of or related to these Terms or the services provided by HendAxis Trust shall be instituted exclusively in the competent courts of Accra, Ghana.</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6"/>
      </w:rPr>
      <w:t>CONFIDENTIAL  •  FOR REGULATORY, LEGAL &amp; OPERATIONAL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color w:val="64748B"/>
        <w:sz w:val="17"/>
      </w:rPr>
      <w:t>HENDAXIS TRUST  •  MASTER TERMS OF SERVICE &amp; USER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