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jc w:val="center"/>
      </w:pPr>
      <w:r>
        <w:rPr>
          <w:rFonts w:ascii="Arial" w:cs="Arial" w:eastAsia="Arial" w:hAnsi="Arial"/>
          <w:b/>
          <w:bCs/>
          <w:color w:val="1A1A1A"/>
          <w:sz w:val="56"/>
          <w:szCs w:val="56"/>
        </w:rPr>
        <w:t xml:space="preserve">RELENTLESS</w:t>
      </w:r>
    </w:p>
    <w:p>
      <w:pPr>
        <w:spacing w:before="0" w:after="40"/>
        <w:jc w:val="center"/>
      </w:pPr>
      <w:r>
        <w:rPr>
          <w:rFonts w:ascii="Arial" w:cs="Arial" w:eastAsia="Arial" w:hAnsi="Arial"/>
          <w:b/>
          <w:bCs/>
          <w:color w:val="B8860B"/>
          <w:sz w:val="28"/>
          <w:szCs w:val="28"/>
        </w:rPr>
        <w:t xml:space="preserve">N O T H I N G   I S   F I N I S H E D</w:t>
      </w:r>
    </w:p>
    <w:p>
      <w:pPr>
        <w:spacing w:before="0" w:after="40"/>
        <w:jc w:val="center"/>
      </w:pPr>
      <w:r>
        <w:rPr>
          <w:rFonts w:ascii="Arial" w:cs="Arial" w:eastAsia="Arial" w:hAnsi="Arial"/>
          <w:color w:val="888888"/>
          <w:sz w:val="20"/>
          <w:szCs w:val="20"/>
        </w:rPr>
        <w:t xml:space="preserve">relentlessperforma.com  |  nothingsfinished.com</w:t>
      </w:r>
    </w:p>
    <w:p>
      <w:pPr>
        <w:spacing w:before="40" w:after="240"/>
        <w:jc w:val="center"/>
      </w:pPr>
      <w:r>
        <w:rPr>
          <w:rFonts w:ascii="Arial" w:cs="Arial" w:eastAsia="Arial" w:hAnsi="Arial"/>
          <w:b/>
          <w:bCs/>
          <w:color w:val="444444"/>
          <w:sz w:val="22"/>
          <w:szCs w:val="22"/>
        </w:rPr>
        <w:t xml:space="preserve">PROJECT PLANNING QUESTIONS  —  FOR STEPHEN &amp; CHELSEA</w:t>
      </w:r>
    </w:p>
    <w:p>
      <w:pPr>
        <w:pBdr>
          <w:left w:val="single" w:color="B8860B" w:sz="12" w:space="8"/>
        </w:pBdr>
        <w:shd w:fill="FFF8E7" w:val="clear"/>
        <w:spacing w:before="0" w:after="120"/>
        <w:ind w:left="240" w:right="240"/>
      </w:pPr>
      <w:r>
        <w:rPr>
          <w:rFonts w:ascii="Arial" w:cs="Arial" w:eastAsia="Arial" w:hAnsi="Arial"/>
          <w:i/>
          <w:iCs/>
          <w:color w:val="444444"/>
          <w:sz w:val="21"/>
          <w:szCs w:val="21"/>
        </w:rPr>
        <w:t xml:space="preserve">These questions will allow us to build the Relentless platform correctly from the ground up — secure, compliant, and built to grow with you. There are no wrong answers. The more detail you can provide, the better we can plan. Leave any answer blank if you're not sure yet — those become our next conversation.</w:t>
      </w:r>
    </w:p>
    <w:p>
      <w:pPr>
        <w:spacing w:before="200" w:after="0"/>
      </w:pPr>
      <w:r>
        <w:t xml:space="preserve"/>
      </w:r>
    </w:p>
    <w:p>
      <w:pPr>
        <w:pStyle w:val="Heading1"/>
        <w:pBdr>
          <w:bottom w:val="single" w:color="B8860B" w:sz="6" w:space="4"/>
        </w:pBdr>
        <w:spacing w:before="400" w:after="160"/>
      </w:pPr>
      <w:r>
        <w:rPr>
          <w:rFonts w:ascii="Arial" w:cs="Arial" w:eastAsia="Arial" w:hAnsi="Arial"/>
          <w:b/>
          <w:bCs/>
          <w:color w:val="1A1A1A"/>
          <w:sz w:val="32"/>
          <w:szCs w:val="32"/>
        </w:rPr>
        <w:t xml:space="preserve">1. Business &amp; Brand</w:t>
      </w:r>
    </w:p>
    <w:p>
      <w:pPr>
        <w:spacing w:before="80" w:after="80"/>
      </w:pPr>
      <w:r>
        <w:rPr>
          <w:rFonts w:ascii="Arial" w:cs="Arial" w:eastAsia="Arial" w:hAnsi="Arial"/>
          <w:color w:val="444444"/>
          <w:sz w:val="22"/>
          <w:szCs w:val="22"/>
        </w:rPr>
        <w:t xml:space="preserve">These questions help us understand the relationship between Relentless and Edges &amp; Dreams, and what assets are ready to work with.</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880"/>
        <w:gridCol w:w="1680"/>
      </w:tblGrid>
      <w:tr>
        <w:trPr>
          <w:tblHeader/>
        </w:trPr>
        <w:tc>
          <w:tcPr>
            <w:tcW w:type="dxa" w:w="6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20"/>
                <w:szCs w:val="20"/>
              </w:rPr>
              <w:t xml:space="preserve">Question</w:t>
            </w:r>
          </w:p>
        </w:tc>
        <w:tc>
          <w:tcPr>
            <w:tcW w:type="dxa" w:w="288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20"/>
                <w:szCs w:val="20"/>
              </w:rPr>
              <w:t xml:space="preserve">Why This Matters</w:t>
            </w:r>
          </w:p>
        </w:tc>
        <w:tc>
          <w:tcPr>
            <w:tcW w:type="dxa" w:w="168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20"/>
                <w:szCs w:val="20"/>
              </w:rPr>
              <w:t xml:space="preserve">Answer</w:t>
            </w:r>
          </w:p>
        </w:tc>
      </w:tr>
      <w:tr>
        <w:tc>
          <w:tcPr>
            <w:tcW w:type="dxa" w:w="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8B6914"/>
                <w:sz w:val="20"/>
                <w:szCs w:val="20"/>
              </w:rPr>
              <w:t xml:space="preserve">Q1</w:t>
            </w:r>
          </w:p>
        </w:tc>
        <w:tc>
          <w:tcPr>
            <w:tcW w:type="dxa" w:w="4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1A"/>
                <w:sz w:val="20"/>
                <w:szCs w:val="20"/>
              </w:rPr>
              <w:t xml:space="preserve">Should Relentless be completely separate from Edges &amp; Dreams technically, or do you want them connected?</w:t>
            </w:r>
          </w:p>
        </w:tc>
        <w:tc>
          <w:tcPr>
            <w:tcW w:type="dxa" w:w="28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444444"/>
                <w:sz w:val="19"/>
                <w:szCs w:val="19"/>
              </w:rPr>
              <w:t xml:space="preserve">Determines data architecture, legal entities, and whether customer records can be shared between brands.</w:t>
            </w:r>
          </w:p>
        </w:tc>
        <w:tc>
          <w:tcPr>
            <w:tcW w:type="dxa" w:w="16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6914"/>
                <w:sz w:val="20"/>
                <w:szCs w:val="20"/>
              </w:rPr>
              <w:t xml:space="preserve">Q2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 platform is Edges &amp; Dreams currently running on for the booking site and shopping site?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19"/>
                <w:szCs w:val="19"/>
              </w:rPr>
              <w:t xml:space="preserve">If already on Shopify or Square, we can align Relentless to the same ecosystem and reduce complexity.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8B6914"/>
                <w:sz w:val="20"/>
                <w:szCs w:val="20"/>
              </w:rPr>
              <w:t xml:space="preserve">Q3</w:t>
            </w:r>
          </w:p>
        </w:tc>
        <w:tc>
          <w:tcPr>
            <w:tcW w:type="dxa" w:w="4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1A"/>
                <w:sz w:val="20"/>
                <w:szCs w:val="20"/>
              </w:rPr>
              <w:t xml:space="preserve">Which hosting platform are you leaning toward for Relentless — GoDaddy or Wix/Vistaprint? What is Chelsea already using for the other two sites?</w:t>
            </w:r>
          </w:p>
        </w:tc>
        <w:tc>
          <w:tcPr>
            <w:tcW w:type="dxa" w:w="28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444444"/>
                <w:sz w:val="19"/>
                <w:szCs w:val="19"/>
              </w:rPr>
              <w:t xml:space="preserve">Platform choice determines the entire technical stack, database options, and what custom features are possible.</w:t>
            </w:r>
          </w:p>
        </w:tc>
        <w:tc>
          <w:tcPr>
            <w:tcW w:type="dxa" w:w="16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6914"/>
                <w:sz w:val="20"/>
                <w:szCs w:val="20"/>
              </w:rPr>
              <w:t xml:space="preserve">Q4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 you have a logo, brand colors (hex codes), and any existing brand guidelines for Relentless?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19"/>
                <w:szCs w:val="19"/>
              </w:rPr>
              <w:t xml:space="preserve">Needed immediately to begin design work and ensure consistency across all pages.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8B6914"/>
                <w:sz w:val="20"/>
                <w:szCs w:val="20"/>
              </w:rPr>
              <w:t xml:space="preserve">Q5</w:t>
            </w:r>
          </w:p>
        </w:tc>
        <w:tc>
          <w:tcPr>
            <w:tcW w:type="dxa" w:w="4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1A"/>
                <w:sz w:val="20"/>
                <w:szCs w:val="20"/>
              </w:rPr>
              <w:t xml:space="preserve">What is the long-term revenue model — primarily apparel, or do you envision digital products, memberships, coaching, or event ticketing?</w:t>
            </w:r>
          </w:p>
        </w:tc>
        <w:tc>
          <w:tcPr>
            <w:tcW w:type="dxa" w:w="28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444444"/>
                <w:sz w:val="19"/>
                <w:szCs w:val="19"/>
              </w:rPr>
              <w:t xml:space="preserve">Affects payment and account architecture significantly. Each revenue type has different compliance implications.</w:t>
            </w:r>
          </w:p>
        </w:tc>
        <w:tc>
          <w:tcPr>
            <w:tcW w:type="dxa" w:w="16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sz w:val="20"/>
                <w:szCs w:val="20"/>
              </w:rPr>
              <w:t xml:space="preserve"/>
            </w:r>
          </w:p>
        </w:tc>
      </w:tr>
    </w:tbl>
    <w:p>
      <w:pPr>
        <w:spacing w:before="200" w:after="0"/>
      </w:pPr>
      <w:r>
        <w:t xml:space="preserve"/>
      </w:r>
    </w:p>
    <w:p>
      <w:pPr>
        <w:pStyle w:val="Heading1"/>
        <w:pBdr>
          <w:bottom w:val="single" w:color="B8860B" w:sz="6" w:space="4"/>
        </w:pBdr>
        <w:spacing w:before="400" w:after="160"/>
      </w:pPr>
      <w:r>
        <w:rPr>
          <w:rFonts w:ascii="Arial" w:cs="Arial" w:eastAsia="Arial" w:hAnsi="Arial"/>
          <w:b/>
          <w:bCs/>
          <w:color w:val="1A1A1A"/>
          <w:sz w:val="32"/>
          <w:szCs w:val="32"/>
        </w:rPr>
        <w:t xml:space="preserve">2. Payments &amp; Shop</w:t>
      </w:r>
    </w:p>
    <w:p>
      <w:pPr>
        <w:spacing w:before="80" w:after="80"/>
      </w:pPr>
      <w:r>
        <w:rPr>
          <w:rFonts w:ascii="Arial" w:cs="Arial" w:eastAsia="Arial" w:hAnsi="Arial"/>
          <w:color w:val="444444"/>
          <w:sz w:val="22"/>
          <w:szCs w:val="22"/>
        </w:rPr>
        <w:t xml:space="preserve">The payment processor is the single most important technical decision we will make. It determines your PCI compliance level, checkout experience, and which platforms are viable.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880"/>
        <w:gridCol w:w="1680"/>
      </w:tblGrid>
      <w:tr>
        <w:trPr>
          <w:tblHeader/>
        </w:trPr>
        <w:tc>
          <w:tcPr>
            <w:tcW w:type="dxa" w:w="6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20"/>
                <w:szCs w:val="20"/>
              </w:rPr>
              <w:t xml:space="preserve">Question</w:t>
            </w:r>
          </w:p>
        </w:tc>
        <w:tc>
          <w:tcPr>
            <w:tcW w:type="dxa" w:w="288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20"/>
                <w:szCs w:val="20"/>
              </w:rPr>
              <w:t xml:space="preserve">Why This Matters</w:t>
            </w:r>
          </w:p>
        </w:tc>
        <w:tc>
          <w:tcPr>
            <w:tcW w:type="dxa" w:w="168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20"/>
                <w:szCs w:val="20"/>
              </w:rPr>
              <w:t xml:space="preserve">Answer</w:t>
            </w:r>
          </w:p>
        </w:tc>
      </w:tr>
      <w:tr>
        <w:tc>
          <w:tcPr>
            <w:tcW w:type="dxa" w:w="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8B6914"/>
                <w:sz w:val="20"/>
                <w:szCs w:val="20"/>
              </w:rPr>
              <w:t xml:space="preserve">Q6</w:t>
            </w:r>
          </w:p>
        </w:tc>
        <w:tc>
          <w:tcPr>
            <w:tcW w:type="dxa" w:w="4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1A"/>
                <w:sz w:val="20"/>
                <w:szCs w:val="20"/>
              </w:rPr>
              <w:t xml:space="preserve">Which payment processor do you want to use — Stripe, Shopify Payments, PayPal/Braintree, or Square?</w:t>
            </w:r>
          </w:p>
        </w:tc>
        <w:tc>
          <w:tcPr>
            <w:tcW w:type="dxa" w:w="28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444444"/>
                <w:sz w:val="19"/>
                <w:szCs w:val="19"/>
              </w:rPr>
              <w:t xml:space="preserve">Determines PCI compliance level (we are targeting SAQ-A — the lightest possible scope). Card data will never touch your server.</w:t>
            </w:r>
          </w:p>
        </w:tc>
        <w:tc>
          <w:tcPr>
            <w:tcW w:type="dxa" w:w="16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6914"/>
                <w:sz w:val="20"/>
                <w:szCs w:val="20"/>
              </w:rPr>
              <w:t xml:space="preserve">Q7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Are you currently using Square in the physical Edges &amp; Dreams store? (Square is the card reader that attaches to Apple devices.)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19"/>
                <w:szCs w:val="19"/>
              </w:rPr>
              <w:t xml:space="preserve">If yes, Square Online could unify your in-store and online operations seamlessly under one ecosystem.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8B6914"/>
                <w:sz w:val="20"/>
                <w:szCs w:val="20"/>
              </w:rPr>
              <w:t xml:space="preserve">Q8</w:t>
            </w:r>
          </w:p>
        </w:tc>
        <w:tc>
          <w:tcPr>
            <w:tcW w:type="dxa" w:w="4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1A"/>
                <w:sz w:val="20"/>
                <w:szCs w:val="20"/>
              </w:rPr>
              <w:t xml:space="preserve">Will the shop launch with inventory on hand, or is this print-on-demand / drop-ship initially?</w:t>
            </w:r>
          </w:p>
        </w:tc>
        <w:tc>
          <w:tcPr>
            <w:tcW w:type="dxa" w:w="28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444444"/>
                <w:sz w:val="19"/>
                <w:szCs w:val="19"/>
              </w:rPr>
              <w:t xml:space="preserve">Affects inventory management, fulfillment integration, and which platforms make the most sense at launch.</w:t>
            </w:r>
          </w:p>
        </w:tc>
        <w:tc>
          <w:tcPr>
            <w:tcW w:type="dxa" w:w="16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6914"/>
                <w:sz w:val="20"/>
                <w:szCs w:val="20"/>
              </w:rPr>
              <w:t xml:space="preserve">Q9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 you use the same payment processor for both Relentless and Edges &amp; Dreams, or do they need to stay separate?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19"/>
                <w:szCs w:val="19"/>
              </w:rPr>
              <w:t xml:space="preserve">Unifying under one processor simplifies reconciliation, reduces fees, and keeps compliance scope contained.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8B6914"/>
                <w:sz w:val="20"/>
                <w:szCs w:val="20"/>
              </w:rPr>
              <w:t xml:space="preserve">Q10</w:t>
            </w:r>
          </w:p>
        </w:tc>
        <w:tc>
          <w:tcPr>
            <w:tcW w:type="dxa" w:w="4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1A"/>
                <w:sz w:val="20"/>
                <w:szCs w:val="20"/>
              </w:rPr>
              <w:t xml:space="preserve">Are there any initial product SKUs ready to list, or would you prefer a coming soon / waitlist launch for the shop?</w:t>
            </w:r>
          </w:p>
        </w:tc>
        <w:tc>
          <w:tcPr>
            <w:tcW w:type="dxa" w:w="28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444444"/>
                <w:sz w:val="19"/>
                <w:szCs w:val="19"/>
              </w:rPr>
              <w:t xml:space="preserve">A soft launch builds community without inventory pressure and lets us test the platform before a full go-live.</w:t>
            </w:r>
          </w:p>
        </w:tc>
        <w:tc>
          <w:tcPr>
            <w:tcW w:type="dxa" w:w="16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sz w:val="20"/>
                <w:szCs w:val="20"/>
              </w:rPr>
              <w:t xml:space="preserve"/>
            </w:r>
          </w:p>
        </w:tc>
      </w:tr>
    </w:tbl>
    <w:p>
      <w:pPr>
        <w:spacing w:before="200" w:after="0"/>
      </w:pPr>
      <w:r>
        <w:t xml:space="preserve"/>
      </w:r>
    </w:p>
    <w:p>
      <w:pPr>
        <w:pStyle w:val="Heading1"/>
        <w:pBdr>
          <w:bottom w:val="single" w:color="B8860B" w:sz="6" w:space="4"/>
        </w:pBdr>
        <w:spacing w:before="400" w:after="160"/>
      </w:pPr>
      <w:r>
        <w:rPr>
          <w:rFonts w:ascii="Arial" w:cs="Arial" w:eastAsia="Arial" w:hAnsi="Arial"/>
          <w:b/>
          <w:bCs/>
          <w:color w:val="1A1A1A"/>
          <w:sz w:val="32"/>
          <w:szCs w:val="32"/>
        </w:rPr>
        <w:t xml:space="preserve">3. Community &amp; Content</w:t>
      </w:r>
    </w:p>
    <w:p>
      <w:pPr>
        <w:spacing w:before="80" w:after="80"/>
      </w:pPr>
      <w:r>
        <w:rPr>
          <w:rFonts w:ascii="Arial" w:cs="Arial" w:eastAsia="Arial" w:hAnsi="Arial"/>
          <w:color w:val="444444"/>
          <w:sz w:val="22"/>
          <w:szCs w:val="22"/>
        </w:rPr>
        <w:t xml:space="preserve">The community platform is the heart of what makes Relentless different from just another apparel brand. These questions shape how content flows through the site.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880"/>
        <w:gridCol w:w="1680"/>
      </w:tblGrid>
      <w:tr>
        <w:trPr>
          <w:tblHeader/>
        </w:trPr>
        <w:tc>
          <w:tcPr>
            <w:tcW w:type="dxa" w:w="6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20"/>
                <w:szCs w:val="20"/>
              </w:rPr>
              <w:t xml:space="preserve">Question</w:t>
            </w:r>
          </w:p>
        </w:tc>
        <w:tc>
          <w:tcPr>
            <w:tcW w:type="dxa" w:w="288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20"/>
                <w:szCs w:val="20"/>
              </w:rPr>
              <w:t xml:space="preserve">Why This Matters</w:t>
            </w:r>
          </w:p>
        </w:tc>
        <w:tc>
          <w:tcPr>
            <w:tcW w:type="dxa" w:w="168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20"/>
                <w:szCs w:val="20"/>
              </w:rPr>
              <w:t xml:space="preserve">Answer</w:t>
            </w:r>
          </w:p>
        </w:tc>
      </w:tr>
      <w:tr>
        <w:tc>
          <w:tcPr>
            <w:tcW w:type="dxa" w:w="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8B6914"/>
                <w:sz w:val="20"/>
                <w:szCs w:val="20"/>
              </w:rPr>
              <w:t xml:space="preserve">Q11</w:t>
            </w:r>
          </w:p>
        </w:tc>
        <w:tc>
          <w:tcPr>
            <w:tcW w:type="dxa" w:w="4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1A"/>
                <w:sz w:val="20"/>
                <w:szCs w:val="20"/>
              </w:rPr>
              <w:t xml:space="preserve">Who will serve as content reviewers in the moderation queue — just Stephen and Chelsea, or will you designate additional staff?</w:t>
            </w:r>
          </w:p>
        </w:tc>
        <w:tc>
          <w:tcPr>
            <w:tcW w:type="dxa" w:w="28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444444"/>
                <w:sz w:val="19"/>
                <w:szCs w:val="19"/>
              </w:rPr>
              <w:t xml:space="preserve">Determines how many reviewer accounts to set up and what the moderation workload will look like at launch.</w:t>
            </w:r>
          </w:p>
        </w:tc>
        <w:tc>
          <w:tcPr>
            <w:tcW w:type="dxa" w:w="16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6914"/>
                <w:sz w:val="20"/>
                <w:szCs w:val="20"/>
              </w:rPr>
              <w:t xml:space="preserve">Q12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 you have an existing email newsletter tool — Mailchimp, Klaviyo, Constant Contact, or similar?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19"/>
                <w:szCs w:val="19"/>
              </w:rPr>
              <w:t xml:space="preserve">If yes, we integrate it. If no, we select and configure one. Avoids duplicating effort with the Edges &amp; Dreams client list.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8B6914"/>
                <w:sz w:val="20"/>
                <w:szCs w:val="20"/>
              </w:rPr>
              <w:t xml:space="preserve">Q13</w:t>
            </w:r>
          </w:p>
        </w:tc>
        <w:tc>
          <w:tcPr>
            <w:tcW w:type="dxa" w:w="4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1A"/>
                <w:sz w:val="20"/>
                <w:szCs w:val="20"/>
              </w:rPr>
              <w:t xml:space="preserve">Do you want the Relentless newsletter list to be completely separate from the Edges &amp; Dreams list, or unified?</w:t>
            </w:r>
          </w:p>
        </w:tc>
        <w:tc>
          <w:tcPr>
            <w:tcW w:type="dxa" w:w="28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444444"/>
                <w:sz w:val="19"/>
                <w:szCs w:val="19"/>
              </w:rPr>
              <w:t xml:space="preserve">Critical for GDPR and CAN-SPAM compliance. Existing subscribers must opt in to a new list — they cannot be moved automatically.</w:t>
            </w:r>
          </w:p>
        </w:tc>
        <w:tc>
          <w:tcPr>
            <w:tcW w:type="dxa" w:w="16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6914"/>
                <w:sz w:val="20"/>
                <w:szCs w:val="20"/>
              </w:rPr>
              <w:t xml:space="preserve">Q14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Are there types of content you absolutely do not want on the platform, beyond obvious violations?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19"/>
                <w:szCs w:val="19"/>
              </w:rPr>
              <w:t xml:space="preserve">Helps write a clear community guidelines document and configure the moderation rejection workflow with specific criteria.</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8B6914"/>
                <w:sz w:val="20"/>
                <w:szCs w:val="20"/>
              </w:rPr>
              <w:t xml:space="preserve">Q15</w:t>
            </w:r>
          </w:p>
        </w:tc>
        <w:tc>
          <w:tcPr>
            <w:tcW w:type="dxa" w:w="4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1A"/>
                <w:sz w:val="20"/>
                <w:szCs w:val="20"/>
              </w:rPr>
              <w:t xml:space="preserve">Do you envision video content or podcasts in the future, or just written articles and images initially?</w:t>
            </w:r>
          </w:p>
        </w:tc>
        <w:tc>
          <w:tcPr>
            <w:tcW w:type="dxa" w:w="28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444444"/>
                <w:sz w:val="19"/>
                <w:szCs w:val="19"/>
              </w:rPr>
              <w:t xml:space="preserve">Video and audio require CDN infrastructure planning. Significant cost and complexity difference — better to plan for it now.</w:t>
            </w:r>
          </w:p>
        </w:tc>
        <w:tc>
          <w:tcPr>
            <w:tcW w:type="dxa" w:w="16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6914"/>
                <w:sz w:val="20"/>
                <w:szCs w:val="20"/>
              </w:rPr>
              <w:t xml:space="preserve">Q16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 you want to be able to feature or spotlight community contributors — athlete profiles, ambassador pages?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19"/>
                <w:szCs w:val="19"/>
              </w:rPr>
              <w:t xml:space="preserve">Shapes how user profiles are structured and whether we build a public-facing contributor directory.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before="200" w:after="0"/>
      </w:pPr>
      <w:r>
        <w:t xml:space="preserve"/>
      </w:r>
    </w:p>
    <w:p>
      <w:pPr>
        <w:pStyle w:val="Heading1"/>
        <w:pBdr>
          <w:bottom w:val="single" w:color="B8860B" w:sz="6" w:space="4"/>
        </w:pBdr>
        <w:spacing w:before="400" w:after="160"/>
      </w:pPr>
      <w:r>
        <w:rPr>
          <w:rFonts w:ascii="Arial" w:cs="Arial" w:eastAsia="Arial" w:hAnsi="Arial"/>
          <w:b/>
          <w:bCs/>
          <w:color w:val="1A1A1A"/>
          <w:sz w:val="32"/>
          <w:szCs w:val="32"/>
        </w:rPr>
        <w:t xml:space="preserve">4. Data, Privacy &amp; Users</w:t>
      </w:r>
    </w:p>
    <w:p>
      <w:pPr>
        <w:spacing w:before="80" w:after="80"/>
      </w:pPr>
      <w:r>
        <w:rPr>
          <w:rFonts w:ascii="Arial" w:cs="Arial" w:eastAsia="Arial" w:hAnsi="Arial"/>
          <w:color w:val="444444"/>
          <w:sz w:val="22"/>
          <w:szCs w:val="22"/>
        </w:rPr>
        <w:t xml:space="preserve">These questions directly determine your legal compliance obligations. Some of these have serious consequences if not addressed before launch — particularly around youth users.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880"/>
        <w:gridCol w:w="1680"/>
      </w:tblGrid>
      <w:tr>
        <w:trPr>
          <w:tblHeader/>
        </w:trPr>
        <w:tc>
          <w:tcPr>
            <w:tcW w:type="dxa" w:w="6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20"/>
                <w:szCs w:val="20"/>
              </w:rPr>
              <w:t xml:space="preserve">Question</w:t>
            </w:r>
          </w:p>
        </w:tc>
        <w:tc>
          <w:tcPr>
            <w:tcW w:type="dxa" w:w="288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20"/>
                <w:szCs w:val="20"/>
              </w:rPr>
              <w:t xml:space="preserve">Why This Matters</w:t>
            </w:r>
          </w:p>
        </w:tc>
        <w:tc>
          <w:tcPr>
            <w:tcW w:type="dxa" w:w="168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20"/>
                <w:szCs w:val="20"/>
              </w:rPr>
              <w:t xml:space="preserve">Answer</w:t>
            </w:r>
          </w:p>
        </w:tc>
      </w:tr>
      <w:tr>
        <w:tc>
          <w:tcPr>
            <w:tcW w:type="dxa" w:w="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8B6914"/>
                <w:sz w:val="20"/>
                <w:szCs w:val="20"/>
              </w:rPr>
              <w:t xml:space="preserve">Q17</w:t>
            </w:r>
          </w:p>
        </w:tc>
        <w:tc>
          <w:tcPr>
            <w:tcW w:type="dxa" w:w="4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1A"/>
                <w:sz w:val="20"/>
                <w:szCs w:val="20"/>
              </w:rPr>
              <w:t xml:space="preserve">Will you have athletes under the age of 13 on the platform?</w:t>
            </w:r>
          </w:p>
        </w:tc>
        <w:tc>
          <w:tcPr>
            <w:tcW w:type="dxa" w:w="28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444444"/>
                <w:sz w:val="19"/>
                <w:szCs w:val="19"/>
              </w:rPr>
              <w:t xml:space="preserve">COPPA compliance requires parental consent flows for under-13 users. Must be built in from day one — retrofitting is very difficult.</w:t>
            </w:r>
          </w:p>
        </w:tc>
        <w:tc>
          <w:tcPr>
            <w:tcW w:type="dxa" w:w="16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6914"/>
                <w:sz w:val="20"/>
                <w:szCs w:val="20"/>
              </w:rPr>
              <w:t xml:space="preserve">Q18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 you want to capture any athlete performance data, training logs, or health metrics in the future?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19"/>
                <w:szCs w:val="19"/>
              </w:rPr>
              <w:t xml:space="preserve">Creates HIPAA-adjacent obligations even if not technically a covered entity. Needs careful scoping before any data collection begins.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8B6914"/>
                <w:sz w:val="20"/>
                <w:szCs w:val="20"/>
              </w:rPr>
              <w:t xml:space="preserve">Q19</w:t>
            </w:r>
          </w:p>
        </w:tc>
        <w:tc>
          <w:tcPr>
            <w:tcW w:type="dxa" w:w="4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1A"/>
                <w:sz w:val="20"/>
                <w:szCs w:val="20"/>
              </w:rPr>
              <w:t xml:space="preserve">Does the existing Edges &amp; Dreams client list need to be brought into Relentless in any way?</w:t>
            </w:r>
          </w:p>
        </w:tc>
        <w:tc>
          <w:tcPr>
            <w:tcW w:type="dxa" w:w="28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444444"/>
                <w:sz w:val="19"/>
                <w:szCs w:val="19"/>
              </w:rPr>
              <w:t xml:space="preserve">Existing subscribers need to provide fresh consent before receiving Relentless communications. Cannot be assumed or transferred.</w:t>
            </w:r>
          </w:p>
        </w:tc>
        <w:tc>
          <w:tcPr>
            <w:tcW w:type="dxa" w:w="16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6914"/>
                <w:sz w:val="20"/>
                <w:szCs w:val="20"/>
              </w:rPr>
              <w:t xml:space="preserve">Q20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How long do you want to retain inactive user accounts before purging them?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19"/>
                <w:szCs w:val="19"/>
              </w:rPr>
              <w:t xml:space="preserve">Standard is 2 years of inactivity with a notice email before deletion. Required for GDPR compliance.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8B6914"/>
                <w:sz w:val="20"/>
                <w:szCs w:val="20"/>
              </w:rPr>
              <w:t xml:space="preserve">Q21</w:t>
            </w:r>
          </w:p>
        </w:tc>
        <w:tc>
          <w:tcPr>
            <w:tcW w:type="dxa" w:w="4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1A"/>
                <w:sz w:val="20"/>
                <w:szCs w:val="20"/>
              </w:rPr>
              <w:t xml:space="preserve">Do you want users to be able to delete their own accounts and all associated data?</w:t>
            </w:r>
          </w:p>
        </w:tc>
        <w:tc>
          <w:tcPr>
            <w:tcW w:type="dxa" w:w="28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444444"/>
                <w:sz w:val="19"/>
                <w:szCs w:val="19"/>
              </w:rPr>
              <w:t xml:space="preserve">GDPR right-to-erasure requires this capability. Building it in from day one is significantly easier than adding it later.</w:t>
            </w:r>
          </w:p>
        </w:tc>
        <w:tc>
          <w:tcPr>
            <w:tcW w:type="dxa" w:w="16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sz w:val="20"/>
                <w:szCs w:val="20"/>
              </w:rPr>
              <w:t xml:space="preserve"/>
            </w:r>
          </w:p>
        </w:tc>
      </w:tr>
    </w:tbl>
    <w:p>
      <w:pPr>
        <w:spacing w:before="200" w:after="0"/>
      </w:pPr>
      <w:r>
        <w:t xml:space="preserve"/>
      </w:r>
    </w:p>
    <w:p>
      <w:pPr>
        <w:pStyle w:val="Heading1"/>
        <w:pBdr>
          <w:bottom w:val="single" w:color="B8860B" w:sz="6" w:space="4"/>
        </w:pBdr>
        <w:spacing w:before="400" w:after="160"/>
      </w:pPr>
      <w:r>
        <w:rPr>
          <w:rFonts w:ascii="Arial" w:cs="Arial" w:eastAsia="Arial" w:hAnsi="Arial"/>
          <w:b/>
          <w:bCs/>
          <w:color w:val="1A1A1A"/>
          <w:sz w:val="32"/>
          <w:szCs w:val="32"/>
        </w:rPr>
        <w:t xml:space="preserve">5. Design &amp; Launch</w:t>
      </w:r>
    </w:p>
    <w:p>
      <w:pPr>
        <w:spacing w:before="80" w:after="80"/>
      </w:pPr>
      <w:r>
        <w:rPr>
          <w:rFonts w:ascii="Arial" w:cs="Arial" w:eastAsia="Arial" w:hAnsi="Arial"/>
          <w:color w:val="444444"/>
          <w:sz w:val="22"/>
          <w:szCs w:val="22"/>
        </w:rPr>
        <w:t xml:space="preserve">These questions help us sequence the work correctly and set realistic expectations for what is needed at each phase of the build.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880"/>
        <w:gridCol w:w="1680"/>
      </w:tblGrid>
      <w:tr>
        <w:trPr>
          <w:tblHeader/>
        </w:trPr>
        <w:tc>
          <w:tcPr>
            <w:tcW w:type="dxa" w:w="6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20"/>
                <w:szCs w:val="20"/>
              </w:rPr>
              <w:t xml:space="preserve">Question</w:t>
            </w:r>
          </w:p>
        </w:tc>
        <w:tc>
          <w:tcPr>
            <w:tcW w:type="dxa" w:w="288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20"/>
                <w:szCs w:val="20"/>
              </w:rPr>
              <w:t xml:space="preserve">Why This Matters</w:t>
            </w:r>
          </w:p>
        </w:tc>
        <w:tc>
          <w:tcPr>
            <w:tcW w:type="dxa" w:w="168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20"/>
                <w:szCs w:val="20"/>
              </w:rPr>
              <w:t xml:space="preserve">Answer</w:t>
            </w:r>
          </w:p>
        </w:tc>
      </w:tr>
      <w:tr>
        <w:tc>
          <w:tcPr>
            <w:tcW w:type="dxa" w:w="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8B6914"/>
                <w:sz w:val="20"/>
                <w:szCs w:val="20"/>
              </w:rPr>
              <w:t xml:space="preserve">Q22</w:t>
            </w:r>
          </w:p>
        </w:tc>
        <w:tc>
          <w:tcPr>
            <w:tcW w:type="dxa" w:w="4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1A"/>
                <w:sz w:val="20"/>
                <w:szCs w:val="20"/>
              </w:rPr>
              <w:t xml:space="preserve">Do you have product photography and athlete photography ready, or does that need to be sourced?</w:t>
            </w:r>
          </w:p>
        </w:tc>
        <w:tc>
          <w:tcPr>
            <w:tcW w:type="dxa" w:w="28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444444"/>
                <w:sz w:val="19"/>
                <w:szCs w:val="19"/>
              </w:rPr>
              <w:t xml:space="preserve">Photography is often the longest lead-time item in a launch. Design can begin without it, but the site will look its best with real imagery.</w:t>
            </w:r>
          </w:p>
        </w:tc>
        <w:tc>
          <w:tcPr>
            <w:tcW w:type="dxa" w:w="16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6914"/>
                <w:sz w:val="20"/>
                <w:szCs w:val="20"/>
              </w:rPr>
              <w:t xml:space="preserve">Q23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 is your target launch date or first milestone?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19"/>
                <w:szCs w:val="19"/>
              </w:rPr>
              <w:t xml:space="preserve">Helps us sequence correctly — compliance and backend first, then design and content, then testing. Rushing security is not an option.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8B6914"/>
                <w:sz w:val="20"/>
                <w:szCs w:val="20"/>
              </w:rPr>
              <w:t xml:space="preserve">Q24</w:t>
            </w:r>
          </w:p>
        </w:tc>
        <w:tc>
          <w:tcPr>
            <w:tcW w:type="dxa" w:w="4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1A"/>
                <w:sz w:val="20"/>
                <w:szCs w:val="20"/>
              </w:rPr>
              <w:t xml:space="preserve">Is there a budget range we are working within for third-party tools and services?</w:t>
            </w:r>
          </w:p>
        </w:tc>
        <w:tc>
          <w:tcPr>
            <w:tcW w:type="dxa" w:w="28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444444"/>
                <w:sz w:val="19"/>
                <w:szCs w:val="19"/>
              </w:rPr>
              <w:t xml:space="preserve">Platform fees, payment processing, email sender, auth provider, and CDN all carry ongoing costs that need to be planned.</w:t>
            </w:r>
          </w:p>
        </w:tc>
        <w:tc>
          <w:tcPr>
            <w:tcW w:type="dxa" w:w="16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6914"/>
                <w:sz w:val="20"/>
                <w:szCs w:val="20"/>
              </w:rPr>
              <w:t xml:space="preserve">Q25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Are there any athletes, coaches, or community figures you want to feature as founding ambassadors at launch?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19"/>
                <w:szCs w:val="19"/>
              </w:rPr>
              <w:t xml:space="preserve">Ambassador content at launch creates immediate social proof and community energy. Great for the first newsletter send.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before="240" w:after="0"/>
      </w:pPr>
      <w:r>
        <w:t xml:space="preserve"/>
      </w:r>
    </w:p>
    <w:p>
      <w:pPr>
        <w:pBdr>
          <w:top w:val="single" w:color="B8860B" w:sz="6" w:space="4"/>
          <w:bottom w:val="single" w:color="B8860B" w:sz="6" w:space="4"/>
        </w:pBdr>
        <w:spacing w:before="240" w:after="120"/>
        <w:jc w:val="center"/>
      </w:pPr>
      <w:r>
        <w:rPr>
          <w:rFonts w:ascii="Arial" w:cs="Arial" w:eastAsia="Arial" w:hAnsi="Arial"/>
          <w:b/>
          <w:bCs/>
          <w:color w:val="8B6914"/>
          <w:sz w:val="22"/>
          <w:szCs w:val="22"/>
        </w:rPr>
        <w:t xml:space="preserve">Every day. Every step. Every moment.  —  Move Forward.</w:t>
      </w:r>
    </w:p>
    <w:p>
      <w:pPr>
        <w:spacing w:before="80" w:after="0"/>
        <w:jc w:val="center"/>
      </w:pPr>
      <w:r>
        <w:rPr>
          <w:rFonts w:ascii="Arial" w:cs="Arial" w:eastAsia="Arial" w:hAnsi="Arial"/>
          <w:i/>
          <w:iCs/>
          <w:color w:val="888888"/>
          <w:sz w:val="20"/>
          <w:szCs w:val="20"/>
        </w:rPr>
        <w:t xml:space="preserve">Nothing is finished. Keep building.</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jc w:val="center"/>
    </w:pPr>
    <w:r>
      <w:rPr>
        <w:rFonts w:ascii="Arial" w:cs="Arial" w:eastAsia="Arial" w:hAnsi="Arial"/>
        <w:color w:val="888888"/>
        <w:sz w:val="18"/>
        <w:szCs w:val="18"/>
      </w:rPr>
      <w:t xml:space="preserve">relentlessperforma.com  |  nothingsfinished.com  |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none" w:color="FFFFFF" w:sz="0"/>
            <w:left w:val="none" w:color="FFFFFF" w:sz="0"/>
            <w:bottom w:val="single" w:color="B8860B" w:sz="4"/>
            <w:right w:val="none" w:color="FFFFFF" w:sz="0"/>
          </w:tcBorders>
          <w:tcMar>
            <w:top w:type="dxa" w:w="60"/>
            <w:left w:type="dxa" w:w="0"/>
            <w:bottom w:type="dxa" w:w="60"/>
            <w:right w:type="dxa" w:w="0"/>
          </w:tcMar>
        </w:tcPr>
        <w:p>
          <w:r>
            <w:rPr>
              <w:rFonts w:ascii="Arial" w:cs="Arial" w:eastAsia="Arial" w:hAnsi="Arial"/>
              <w:b/>
              <w:bCs/>
              <w:color w:val="1A1A1A"/>
              <w:sz w:val="20"/>
              <w:szCs w:val="20"/>
            </w:rPr>
            <w:t xml:space="preserve">NOTHING IS FINISHED  </w:t>
          </w:r>
          <w:r>
            <w:rPr>
              <w:rFonts w:ascii="Arial" w:cs="Arial" w:eastAsia="Arial" w:hAnsi="Arial"/>
              <w:b/>
              <w:bCs/>
              <w:color w:val="B8860B"/>
              <w:sz w:val="20"/>
              <w:szCs w:val="20"/>
            </w:rPr>
            <w:t xml:space="preserve">RELENTLESS</w:t>
          </w:r>
        </w:p>
      </w:tc>
      <w:tc>
        <w:tcPr>
          <w:tcW w:type="dxa" w:w="3000"/>
          <w:tcBorders>
            <w:top w:val="none" w:color="FFFFFF" w:sz="0"/>
            <w:left w:val="none" w:color="FFFFFF" w:sz="0"/>
            <w:bottom w:val="single" w:color="B8860B" w:sz="4"/>
            <w:right w:val="none" w:color="FFFFFF" w:sz="0"/>
          </w:tcBorders>
          <w:tcMar>
            <w:top w:type="dxa" w:w="60"/>
            <w:left w:type="dxa" w:w="0"/>
            <w:bottom w:type="dxa" w:w="60"/>
            <w:right w:type="dxa" w:w="0"/>
          </w:tcMar>
        </w:tcPr>
        <w:p>
          <w:pPr>
            <w:jc w:val="right"/>
          </w:pPr>
          <w:r>
            <w:rPr>
              <w:rFonts w:ascii="Arial" w:cs="Arial" w:eastAsia="Arial" w:hAnsi="Arial"/>
              <w:i/>
              <w:iCs/>
              <w:color w:val="888888"/>
              <w:sz w:val="18"/>
              <w:szCs w:val="18"/>
            </w:rPr>
            <w:t xml:space="preserve">Project Planning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1A"/>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6B4F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2026-03-18T16:57:22.049Z</dcterms:created>
  <dcterms:modified xsi:type="dcterms:W3CDTF">2026-03-18T16:57:22.049Z</dcterms:modified>
</cp:coreProperties>
</file>

<file path=docProps/custom.xml><?xml version="1.0" encoding="utf-8"?>
<Properties xmlns="http://schemas.openxmlformats.org/officeDocument/2006/custom-properties" xmlns:vt="http://schemas.openxmlformats.org/officeDocument/2006/docPropsVTypes"/>
</file>