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896E3" w14:textId="0ECC98D8" w:rsidR="00A23A15" w:rsidRDefault="00A23A15" w:rsidP="000B489D">
      <w:pPr>
        <w:contextualSpacing/>
      </w:pPr>
      <w:r>
        <w:t xml:space="preserve">Rock </w:t>
      </w:r>
      <w:r w:rsidRPr="00FE5D09">
        <w:rPr>
          <w:noProof/>
        </w:rPr>
        <w:t>‘n</w:t>
      </w:r>
      <w:r>
        <w:t xml:space="preserve"> Poll</w:t>
      </w:r>
      <w:r w:rsidR="0098305B">
        <w:t xml:space="preserve"> </w:t>
      </w:r>
      <w:r w:rsidR="001D1290">
        <w:t>–</w:t>
      </w:r>
      <w:r w:rsidR="00F4396D">
        <w:t xml:space="preserve"> </w:t>
      </w:r>
      <w:r w:rsidR="001D1290">
        <w:t xml:space="preserve">a visualization meant for the patient </w:t>
      </w:r>
      <w:bookmarkStart w:id="0" w:name="_GoBack"/>
      <w:bookmarkEnd w:id="0"/>
    </w:p>
    <w:p w14:paraId="34F1FF78" w14:textId="42E25CA2" w:rsidR="000D07AB" w:rsidRDefault="000D07AB" w:rsidP="000B489D">
      <w:pPr>
        <w:contextualSpacing/>
      </w:pPr>
    </w:p>
    <w:p w14:paraId="7B39ED34" w14:textId="5626B5EA" w:rsidR="00C971FF" w:rsidRDefault="00F4396D" w:rsidP="000B489D">
      <w:pPr>
        <w:contextualSpacing/>
      </w:pPr>
      <w:r>
        <w:t xml:space="preserve">Rock </w:t>
      </w:r>
      <w:r w:rsidR="00D4677D" w:rsidRPr="00FE5D09">
        <w:rPr>
          <w:noProof/>
        </w:rPr>
        <w:t>‘</w:t>
      </w:r>
      <w:r w:rsidRPr="00FE5D09">
        <w:rPr>
          <w:noProof/>
        </w:rPr>
        <w:t>n</w:t>
      </w:r>
      <w:r>
        <w:t xml:space="preserve"> </w:t>
      </w:r>
      <w:r w:rsidRPr="00FE5D09">
        <w:rPr>
          <w:noProof/>
        </w:rPr>
        <w:t>Poll</w:t>
      </w:r>
      <w:r>
        <w:t xml:space="preserve"> is a data visualization piece by Maarten </w:t>
      </w:r>
      <w:proofErr w:type="spellStart"/>
      <w:r>
        <w:t>Lambrechts</w:t>
      </w:r>
      <w:proofErr w:type="spellEnd"/>
      <w:r w:rsidR="00B374D2">
        <w:t xml:space="preserve">, a data journalist from Belgium. </w:t>
      </w:r>
      <w:r w:rsidR="00936B8F">
        <w:t xml:space="preserve">Through </w:t>
      </w:r>
      <w:r w:rsidR="00936B8F" w:rsidRPr="00875150">
        <w:rPr>
          <w:noProof/>
        </w:rPr>
        <w:t>an</w:t>
      </w:r>
      <w:r w:rsidR="00936B8F">
        <w:t xml:space="preserve"> interactive and stepped story, the visualization explains </w:t>
      </w:r>
      <w:r w:rsidR="006D5868">
        <w:t xml:space="preserve">the </w:t>
      </w:r>
      <w:r w:rsidR="006D5868" w:rsidRPr="00875150">
        <w:rPr>
          <w:noProof/>
        </w:rPr>
        <w:t>rol</w:t>
      </w:r>
      <w:r w:rsidR="00875150">
        <w:rPr>
          <w:noProof/>
        </w:rPr>
        <w:t>e</w:t>
      </w:r>
      <w:r w:rsidR="006D5868">
        <w:t xml:space="preserve"> chance</w:t>
      </w:r>
      <w:r w:rsidR="003E3A0E">
        <w:t xml:space="preserve"> and randomness</w:t>
      </w:r>
      <w:r w:rsidR="00950B7D">
        <w:t xml:space="preserve"> play</w:t>
      </w:r>
      <w:r w:rsidR="006D5868">
        <w:t xml:space="preserve"> in polling results</w:t>
      </w:r>
      <w:r w:rsidR="00A86413">
        <w:t>.</w:t>
      </w:r>
      <w:r w:rsidR="00875150">
        <w:t xml:space="preserve"> It demonstrates </w:t>
      </w:r>
      <w:r w:rsidR="00875150" w:rsidRPr="00875150">
        <w:rPr>
          <w:noProof/>
        </w:rPr>
        <w:t xml:space="preserve">the relationship between </w:t>
      </w:r>
      <w:r w:rsidR="00875150">
        <w:rPr>
          <w:noProof/>
        </w:rPr>
        <w:t xml:space="preserve">the </w:t>
      </w:r>
      <w:r w:rsidR="00875150" w:rsidRPr="00875150">
        <w:rPr>
          <w:noProof/>
        </w:rPr>
        <w:t>increased</w:t>
      </w:r>
      <w:r w:rsidR="00875150">
        <w:rPr>
          <w:noProof/>
        </w:rPr>
        <w:t xml:space="preserve"> number of people voting and accuracy of the polling results.</w:t>
      </w:r>
      <w:r w:rsidR="00FA5087">
        <w:t xml:space="preserve"> </w:t>
      </w:r>
      <w:r w:rsidR="005355CA">
        <w:t xml:space="preserve">The methodology of visualizing data takes </w:t>
      </w:r>
      <w:r w:rsidR="00C971FF">
        <w:t xml:space="preserve">inspiration from </w:t>
      </w:r>
      <w:r w:rsidR="00B169C6">
        <w:t>the Monte Carlo method which uses computational algorithms relying on repeated sampling to obtain numerical results.</w:t>
      </w:r>
      <w:r w:rsidR="00B169C6">
        <w:rPr>
          <w:rStyle w:val="FootnoteReference"/>
        </w:rPr>
        <w:footnoteReference w:id="1"/>
      </w:r>
      <w:r w:rsidR="00375561">
        <w:t xml:space="preserve"> </w:t>
      </w:r>
      <w:r w:rsidR="00950B7D">
        <w:t xml:space="preserve">Hence only the rules for the algorithms are defined </w:t>
      </w:r>
      <w:r w:rsidR="00875150">
        <w:t>generating</w:t>
      </w:r>
      <w:r w:rsidR="00950B7D">
        <w:t xml:space="preserve"> different hypothetical data every time the user </w:t>
      </w:r>
      <w:r w:rsidR="00875150">
        <w:t>scans</w:t>
      </w:r>
      <w:r w:rsidR="00950B7D">
        <w:t xml:space="preserve"> </w:t>
      </w:r>
      <w:r w:rsidR="00950B7D" w:rsidRPr="00875150">
        <w:rPr>
          <w:noProof/>
        </w:rPr>
        <w:t>through the</w:t>
      </w:r>
      <w:r w:rsidR="00950B7D">
        <w:t xml:space="preserve"> visualization.</w:t>
      </w:r>
      <w:r w:rsidR="00232609">
        <w:t xml:space="preserve"> </w:t>
      </w:r>
      <w:r w:rsidR="00232609" w:rsidRPr="006E10A0">
        <w:rPr>
          <w:noProof/>
        </w:rPr>
        <w:t>However</w:t>
      </w:r>
      <w:r w:rsidR="006E10A0">
        <w:rPr>
          <w:noProof/>
        </w:rPr>
        <w:t>,</w:t>
      </w:r>
      <w:r w:rsidR="00232609">
        <w:t xml:space="preserve"> the</w:t>
      </w:r>
      <w:r w:rsidR="00875150">
        <w:t xml:space="preserve"> algorithm also </w:t>
      </w:r>
      <w:r w:rsidR="00875150" w:rsidRPr="00875150">
        <w:rPr>
          <w:noProof/>
        </w:rPr>
        <w:t>h</w:t>
      </w:r>
      <w:r w:rsidR="00875150">
        <w:rPr>
          <w:noProof/>
        </w:rPr>
        <w:t>as</w:t>
      </w:r>
      <w:r w:rsidR="00232609">
        <w:t xml:space="preserve"> rules </w:t>
      </w:r>
      <w:r w:rsidR="00875150">
        <w:t>that</w:t>
      </w:r>
      <w:r w:rsidR="00232609">
        <w:t xml:space="preserve"> set limit</w:t>
      </w:r>
      <w:r w:rsidR="00875150">
        <w:t>s while generating data</w:t>
      </w:r>
      <w:r w:rsidR="00C45F7E">
        <w:t xml:space="preserve">, for example – the first sampling of 10 people always results in the Red party winning. </w:t>
      </w:r>
    </w:p>
    <w:p w14:paraId="262E271C" w14:textId="32E6E3F8" w:rsidR="009838CD" w:rsidRDefault="009838CD" w:rsidP="000B489D">
      <w:pPr>
        <w:contextualSpacing/>
      </w:pPr>
    </w:p>
    <w:p w14:paraId="63ED28F8" w14:textId="65497961" w:rsidR="00E70FC1" w:rsidRDefault="00D71CC7" w:rsidP="00E70FC1">
      <w:r>
        <w:t>This</w:t>
      </w:r>
      <w:r w:rsidR="005355CA">
        <w:t xml:space="preserve"> piece uses an imaginary </w:t>
      </w:r>
      <w:r w:rsidR="000C2AA6">
        <w:t>country</w:t>
      </w:r>
      <w:r w:rsidR="005355CA">
        <w:t xml:space="preserve"> ‘</w:t>
      </w:r>
      <w:proofErr w:type="spellStart"/>
      <w:r w:rsidR="005355CA" w:rsidRPr="00FE5D09">
        <w:rPr>
          <w:noProof/>
        </w:rPr>
        <w:t>PollLand</w:t>
      </w:r>
      <w:proofErr w:type="spellEnd"/>
      <w:r w:rsidR="005355CA">
        <w:t xml:space="preserve">’ </w:t>
      </w:r>
      <w:r w:rsidR="006E10A0">
        <w:t xml:space="preserve">with a population of 1 million </w:t>
      </w:r>
      <w:r w:rsidR="00E62BD4">
        <w:t>and eight political parties</w:t>
      </w:r>
      <w:r w:rsidR="00CD7C86">
        <w:t xml:space="preserve">, </w:t>
      </w:r>
      <w:r w:rsidR="00E62BD4">
        <w:t>each named after a color</w:t>
      </w:r>
      <w:r w:rsidR="00CD7C86">
        <w:t xml:space="preserve">, </w:t>
      </w:r>
      <w:r w:rsidR="005355CA">
        <w:t>to tell a story about how polling works</w:t>
      </w:r>
      <w:r w:rsidR="000A0A6D">
        <w:t xml:space="preserve">. </w:t>
      </w:r>
      <w:r w:rsidR="00CD7C86">
        <w:t>The</w:t>
      </w:r>
      <w:r w:rsidR="000A0A6D">
        <w:t xml:space="preserve"> story and supporting visuals</w:t>
      </w:r>
      <w:r w:rsidR="00CD7C86">
        <w:t xml:space="preserve"> both</w:t>
      </w:r>
      <w:r w:rsidR="000A0A6D">
        <w:t xml:space="preserve"> help</w:t>
      </w:r>
      <w:r w:rsidR="005355CA">
        <w:t xml:space="preserve"> to follow the flow of things and </w:t>
      </w:r>
      <w:r w:rsidR="00A065C2">
        <w:t>keep the user engaged</w:t>
      </w:r>
      <w:r w:rsidR="005355CA">
        <w:t xml:space="preserve">. </w:t>
      </w:r>
      <w:r w:rsidR="004C03DC">
        <w:t xml:space="preserve">The story gradually unfolds helping the audience to grasp the effect of each vote, for example, the piece starts with a voter set of 10 people and slowly takes it to a sample of 1000 people. </w:t>
      </w:r>
      <w:r w:rsidR="00743613">
        <w:t xml:space="preserve">The design layout of this visualization </w:t>
      </w:r>
      <w:r w:rsidR="00077C47">
        <w:t xml:space="preserve">is divided into two parts – one </w:t>
      </w:r>
      <w:r w:rsidR="005A6D05">
        <w:t xml:space="preserve">which moves like a scroll and the other </w:t>
      </w:r>
      <w:r w:rsidR="00077C47">
        <w:t>where</w:t>
      </w:r>
      <w:r w:rsidR="005A6D05">
        <w:t xml:space="preserve"> the elements change and move within it. </w:t>
      </w:r>
      <w:r w:rsidR="002E7F6B">
        <w:t xml:space="preserve">The first part has descriptions to interpret the visualization and the latter showcases the visualization. </w:t>
      </w:r>
      <w:r w:rsidR="005A6D05">
        <w:t>This works well</w:t>
      </w:r>
      <w:r w:rsidR="00CD7C86">
        <w:t>,</w:t>
      </w:r>
      <w:r w:rsidR="005A6D05">
        <w:t xml:space="preserve"> reinstating</w:t>
      </w:r>
      <w:r w:rsidR="00077C47">
        <w:t xml:space="preserve"> </w:t>
      </w:r>
      <w:r w:rsidR="005A6D05">
        <w:t xml:space="preserve">one of Edward </w:t>
      </w:r>
      <w:proofErr w:type="spellStart"/>
      <w:r w:rsidR="00077C47">
        <w:t>Tufte’s</w:t>
      </w:r>
      <w:proofErr w:type="spellEnd"/>
      <w:r w:rsidR="00077C47">
        <w:t xml:space="preserve"> </w:t>
      </w:r>
      <w:r w:rsidR="005A6D05">
        <w:t xml:space="preserve">visual display </w:t>
      </w:r>
      <w:r w:rsidR="00CD7C86">
        <w:t xml:space="preserve">principle - </w:t>
      </w:r>
      <w:r w:rsidR="00077C47">
        <w:t xml:space="preserve">“ for graphics in exploratory data analysis, words should tell the viewer </w:t>
      </w:r>
      <w:r w:rsidR="00077C47" w:rsidRPr="00E70FC1">
        <w:rPr>
          <w:i/>
        </w:rPr>
        <w:t>how</w:t>
      </w:r>
      <w:r w:rsidR="00077C47">
        <w:t xml:space="preserve"> to read the design and not </w:t>
      </w:r>
      <w:r w:rsidR="00077C47" w:rsidRPr="00E70FC1">
        <w:rPr>
          <w:i/>
        </w:rPr>
        <w:t>what</w:t>
      </w:r>
      <w:r w:rsidR="00077C47">
        <w:t xml:space="preserve"> to read in terms of content”</w:t>
      </w:r>
      <w:r w:rsidR="005A6D05">
        <w:rPr>
          <w:rStyle w:val="FootnoteReference"/>
        </w:rPr>
        <w:footnoteReference w:id="2"/>
      </w:r>
      <w:r w:rsidR="00E70FC1" w:rsidRPr="00E70FC1">
        <w:t xml:space="preserve"> </w:t>
      </w:r>
      <w:r w:rsidR="00E70FC1">
        <w:t>On the other hand, if one lo</w:t>
      </w:r>
      <w:r w:rsidR="00CD7C86">
        <w:t>ses track of a single step, it</w:t>
      </w:r>
      <w:r w:rsidR="00E70FC1">
        <w:t xml:space="preserve"> probably</w:t>
      </w:r>
      <w:r w:rsidR="00CD7C86">
        <w:t xml:space="preserve"> becomes</w:t>
      </w:r>
      <w:r w:rsidR="00E70FC1">
        <w:t xml:space="preserve"> difficult to follow the story since there are no titles next to the </w:t>
      </w:r>
      <w:r w:rsidR="00CD7C86">
        <w:t xml:space="preserve">visuals. Here, it becomes important to emphasize </w:t>
      </w:r>
      <w:proofErr w:type="spellStart"/>
      <w:r w:rsidR="00CD7C86">
        <w:t>Tufte’s</w:t>
      </w:r>
      <w:proofErr w:type="spellEnd"/>
      <w:r w:rsidR="00CD7C86">
        <w:t xml:space="preserve"> principles </w:t>
      </w:r>
      <w:r w:rsidR="00E70FC1">
        <w:t>on</w:t>
      </w:r>
      <w:r w:rsidR="00CD7C86">
        <w:t xml:space="preserve"> graphical integrity, and </w:t>
      </w:r>
      <w:r w:rsidR="00366E20">
        <w:t xml:space="preserve">the importance of </w:t>
      </w:r>
      <w:r w:rsidR="00366E20" w:rsidRPr="00F169CF">
        <w:rPr>
          <w:noProof/>
        </w:rPr>
        <w:t>labeling</w:t>
      </w:r>
      <w:r w:rsidR="00366E20">
        <w:t xml:space="preserve"> and mixing graphic and text.</w:t>
      </w:r>
      <w:r w:rsidR="0084751B">
        <w:rPr>
          <w:rStyle w:val="FootnoteReference"/>
        </w:rPr>
        <w:footnoteReference w:id="3"/>
      </w:r>
    </w:p>
    <w:p w14:paraId="5AE5D9EA" w14:textId="77777777" w:rsidR="0027497C" w:rsidRDefault="0027497C" w:rsidP="00E70FC1"/>
    <w:p w14:paraId="31E267AF" w14:textId="4FBBD2B8" w:rsidR="00714B1D" w:rsidRDefault="00DB1101" w:rsidP="00714B1D">
      <w:r>
        <w:t xml:space="preserve">The </w:t>
      </w:r>
      <w:r w:rsidR="00BF6196">
        <w:t>interactivity</w:t>
      </w:r>
      <w:r>
        <w:t xml:space="preserve"> and its corresponding animation work well</w:t>
      </w:r>
      <w:r w:rsidR="00BF6196">
        <w:t>, for example, pressing the ‘1 voter’ button deploys a circle from the bank of circles on the top to the count of vote</w:t>
      </w:r>
      <w:r w:rsidR="006951AC">
        <w:t xml:space="preserve">s at the bottom, </w:t>
      </w:r>
      <w:r w:rsidR="00460CA4">
        <w:t>as if</w:t>
      </w:r>
      <w:r w:rsidR="006951AC">
        <w:t xml:space="preserve"> mimicking the act of dropping a vote in a ballot.</w:t>
      </w:r>
      <w:r w:rsidR="00BF6196">
        <w:t xml:space="preserve"> T</w:t>
      </w:r>
      <w:r w:rsidR="009D3827">
        <w:t>he int</w:t>
      </w:r>
      <w:r w:rsidR="00F169CF">
        <w:t>erface</w:t>
      </w:r>
      <w:r w:rsidR="009D3827">
        <w:t xml:space="preserve"> allows the user</w:t>
      </w:r>
      <w:r w:rsidR="00460CA4">
        <w:t xml:space="preserve"> both</w:t>
      </w:r>
      <w:r w:rsidR="009D3827">
        <w:t xml:space="preserve"> </w:t>
      </w:r>
      <w:r w:rsidR="00FA5087">
        <w:t xml:space="preserve">to </w:t>
      </w:r>
      <w:r w:rsidR="00460CA4">
        <w:t xml:space="preserve">add one vote </w:t>
      </w:r>
      <w:r w:rsidR="00460CA4" w:rsidRPr="00F169CF">
        <w:rPr>
          <w:noProof/>
        </w:rPr>
        <w:t>at a</w:t>
      </w:r>
      <w:r w:rsidR="00460CA4">
        <w:t xml:space="preserve"> time, </w:t>
      </w:r>
      <w:r w:rsidR="00F169CF">
        <w:t>emphasizing</w:t>
      </w:r>
      <w:r w:rsidR="009D3827">
        <w:t xml:space="preserve"> the </w:t>
      </w:r>
      <w:r w:rsidR="009D3827" w:rsidRPr="00F169CF">
        <w:rPr>
          <w:noProof/>
        </w:rPr>
        <w:t>weight</w:t>
      </w:r>
      <w:r w:rsidR="009D3827">
        <w:t xml:space="preserve"> of each vote and the effect it can have on </w:t>
      </w:r>
      <w:r w:rsidR="00460CA4">
        <w:t>the overall outcome of polling</w:t>
      </w:r>
      <w:r w:rsidR="00D03AC9">
        <w:t xml:space="preserve"> results</w:t>
      </w:r>
      <w:r w:rsidR="00460CA4">
        <w:t>, and multiple votes in a single click</w:t>
      </w:r>
      <w:r w:rsidR="00F169CF">
        <w:t xml:space="preserve"> aptly </w:t>
      </w:r>
      <w:r w:rsidR="00460CA4">
        <w:t>called the ‘lazy button’.</w:t>
      </w:r>
      <w:r w:rsidR="00D03AC9">
        <w:t xml:space="preserve"> </w:t>
      </w:r>
      <w:r w:rsidR="00714B1D">
        <w:t xml:space="preserve">When adding multiple votes to the total count, multiple circles start falling from the top and every falling circle changes the bar </w:t>
      </w:r>
      <w:r w:rsidR="00520058">
        <w:t xml:space="preserve">lengths </w:t>
      </w:r>
      <w:r w:rsidR="00714B1D">
        <w:t>showing the difference between actua</w:t>
      </w:r>
      <w:r w:rsidR="0027497C">
        <w:t>l polling results and the</w:t>
      </w:r>
      <w:r w:rsidR="00714B1D">
        <w:t xml:space="preserve"> survey results. </w:t>
      </w:r>
      <w:r w:rsidR="0027497C">
        <w:t>Changing lengths of the bars</w:t>
      </w:r>
      <w:r w:rsidR="00520058">
        <w:t xml:space="preserve"> along with the rise and drop of the ‘difference number’ </w:t>
      </w:r>
      <w:r w:rsidR="00714B1D">
        <w:t xml:space="preserve">helps to understand that something is being counted and </w:t>
      </w:r>
      <w:r w:rsidR="00520058">
        <w:t xml:space="preserve">re-emphasizes the </w:t>
      </w:r>
      <w:r w:rsidR="00520058" w:rsidRPr="00236C82">
        <w:rPr>
          <w:noProof/>
        </w:rPr>
        <w:t>weight</w:t>
      </w:r>
      <w:r w:rsidR="00520058">
        <w:t xml:space="preserve"> of each vote.</w:t>
      </w:r>
    </w:p>
    <w:p w14:paraId="6511755D" w14:textId="2E04D044" w:rsidR="00C00650" w:rsidRDefault="00C00650" w:rsidP="00C00650">
      <w:r>
        <w:t xml:space="preserve">The colors used to represent political parties are visually striking and complimenting, </w:t>
      </w:r>
      <w:r w:rsidRPr="00236C82">
        <w:rPr>
          <w:noProof/>
        </w:rPr>
        <w:t>however</w:t>
      </w:r>
      <w:r w:rsidR="00236C82">
        <w:rPr>
          <w:noProof/>
        </w:rPr>
        <w:t>,</w:t>
      </w:r>
      <w:r>
        <w:t xml:space="preserve"> they are not color blind friendly. The pairing of colors like blue and green, blue and purple, and light green and </w:t>
      </w:r>
      <w:r>
        <w:lastRenderedPageBreak/>
        <w:t>yellow in the visualization makes it hard for color blind people to comprehend the difference and follow the story of the visualization easily.</w:t>
      </w:r>
      <w:r>
        <w:rPr>
          <w:rStyle w:val="FootnoteReference"/>
        </w:rPr>
        <w:footnoteReference w:id="4"/>
      </w:r>
      <w:r w:rsidR="000134BE">
        <w:t xml:space="preserve"> Another</w:t>
      </w:r>
      <w:r w:rsidR="00635D22">
        <w:t xml:space="preserve"> graphical</w:t>
      </w:r>
      <w:r w:rsidR="000134BE">
        <w:t xml:space="preserve"> principle by </w:t>
      </w:r>
      <w:proofErr w:type="spellStart"/>
      <w:r w:rsidR="000134BE">
        <w:t>Tufte</w:t>
      </w:r>
      <w:proofErr w:type="spellEnd"/>
      <w:r w:rsidR="000134BE">
        <w:t xml:space="preserve"> states “The representation of numbers, as physically measured on the surface of the graphic itself, should be directly proportional to the numerical quantities represented.”</w:t>
      </w:r>
      <w:r w:rsidR="00EB79B0" w:rsidRPr="00EB79B0">
        <w:rPr>
          <w:rStyle w:val="FootnoteReference"/>
        </w:rPr>
        <w:t xml:space="preserve"> </w:t>
      </w:r>
      <w:r w:rsidR="00EB79B0">
        <w:rPr>
          <w:rStyle w:val="FootnoteReference"/>
        </w:rPr>
        <w:t>3</w:t>
      </w:r>
      <w:r w:rsidR="00EB79B0">
        <w:t xml:space="preserve"> </w:t>
      </w:r>
      <w:r w:rsidR="000134BE">
        <w:t xml:space="preserve">In this piece, each circle is claimed to represent 1000 </w:t>
      </w:r>
      <w:proofErr w:type="spellStart"/>
      <w:r w:rsidR="000134BE">
        <w:t>Poll</w:t>
      </w:r>
      <w:r w:rsidR="00635D22">
        <w:t>andians</w:t>
      </w:r>
      <w:proofErr w:type="spellEnd"/>
      <w:r w:rsidR="00635D22">
        <w:t xml:space="preserve"> and </w:t>
      </w:r>
      <w:r w:rsidR="000134BE">
        <w:t>e</w:t>
      </w:r>
      <w:r>
        <w:t>ven though using different sizes of circles looks visually more aesthetic, it is confusing to</w:t>
      </w:r>
      <w:r w:rsidR="00635D22">
        <w:t xml:space="preserve"> vary the diameter of the circles and let the values be the same. </w:t>
      </w:r>
      <w:r w:rsidR="00034A4B">
        <w:t xml:space="preserve">Also, at the beginning one circle is supposed to represent 1000 </w:t>
      </w:r>
      <w:proofErr w:type="spellStart"/>
      <w:r w:rsidR="00034A4B">
        <w:t>PollLandians</w:t>
      </w:r>
      <w:proofErr w:type="spellEnd"/>
      <w:r w:rsidR="00034A4B">
        <w:t xml:space="preserve">, while in the very next step one circle starts representing one </w:t>
      </w:r>
      <w:proofErr w:type="spellStart"/>
      <w:r w:rsidR="00034A4B">
        <w:t>PollLandian</w:t>
      </w:r>
      <w:proofErr w:type="spellEnd"/>
      <w:r w:rsidR="00034A4B">
        <w:t xml:space="preserve"> – this is a little disorienting. </w:t>
      </w:r>
    </w:p>
    <w:p w14:paraId="0B32B2EB" w14:textId="47C60EE1" w:rsidR="00915F98" w:rsidRDefault="00915F98" w:rsidP="000B489D">
      <w:pPr>
        <w:contextualSpacing/>
      </w:pPr>
      <w:r>
        <w:t xml:space="preserve">As one reads the first paragraph, </w:t>
      </w:r>
      <w:r w:rsidR="003E3A0E">
        <w:t>it’s a little confusing how you move forward. T</w:t>
      </w:r>
      <w:r>
        <w:t>he</w:t>
      </w:r>
      <w:r w:rsidR="003E3A0E">
        <w:t xml:space="preserve"> infographic for the</w:t>
      </w:r>
      <w:r>
        <w:t xml:space="preserve"> </w:t>
      </w:r>
      <w:r w:rsidR="003E3A0E">
        <w:t>‘</w:t>
      </w:r>
      <w:r>
        <w:t>next button</w:t>
      </w:r>
      <w:r w:rsidR="003E3A0E">
        <w:t xml:space="preserve">’ - </w:t>
      </w:r>
      <w:r>
        <w:t>a tick</w:t>
      </w:r>
      <w:r w:rsidR="003E3A0E">
        <w:t xml:space="preserve"> mark - </w:t>
      </w:r>
      <w:r>
        <w:t xml:space="preserve"> does not seem very intuitive. </w:t>
      </w:r>
      <w:r w:rsidR="00B12276">
        <w:t>It</w:t>
      </w:r>
      <w:r>
        <w:t xml:space="preserve"> has limited interactive-ness, in the sense that it directs the user forward in a linear manner. There is no way to go back a step </w:t>
      </w:r>
      <w:r w:rsidR="00236C82">
        <w:t>or</w:t>
      </w:r>
      <w:r>
        <w:t xml:space="preserve"> relook at a previous </w:t>
      </w:r>
      <w:r w:rsidR="00B12276">
        <w:t>part of the story</w:t>
      </w:r>
      <w:r>
        <w:t>.</w:t>
      </w:r>
      <w:r w:rsidR="00B12276">
        <w:t xml:space="preserve"> The </w:t>
      </w:r>
      <w:r w:rsidR="007A0525">
        <w:t>story moves in a cyclic and uni</w:t>
      </w:r>
      <w:r w:rsidR="00B12276">
        <w:t>directional manner.</w:t>
      </w:r>
      <w:r>
        <w:t xml:space="preserve"> </w:t>
      </w:r>
      <w:r w:rsidR="00236C82">
        <w:t xml:space="preserve">A </w:t>
      </w:r>
      <w:r w:rsidR="00B12276">
        <w:t xml:space="preserve">timeline that allows one to see what </w:t>
      </w:r>
      <w:r w:rsidR="00B12276" w:rsidRPr="00236C82">
        <w:rPr>
          <w:noProof/>
        </w:rPr>
        <w:t>part of</w:t>
      </w:r>
      <w:r w:rsidR="00B12276">
        <w:t xml:space="preserve"> the stepped story one is at </w:t>
      </w:r>
      <w:proofErr w:type="gramStart"/>
      <w:r w:rsidR="00B12276">
        <w:t>and also</w:t>
      </w:r>
      <w:proofErr w:type="gramEnd"/>
      <w:r w:rsidR="00B12276">
        <w:t xml:space="preserve"> jump </w:t>
      </w:r>
      <w:r w:rsidR="00B12276" w:rsidRPr="00236C82">
        <w:rPr>
          <w:noProof/>
        </w:rPr>
        <w:t>to any</w:t>
      </w:r>
      <w:r w:rsidR="00B12276">
        <w:t xml:space="preserve"> part of the story by clicking on it</w:t>
      </w:r>
      <w:r w:rsidR="00236C82">
        <w:t xml:space="preserve"> would have been helpful</w:t>
      </w:r>
      <w:r w:rsidR="00B12276">
        <w:t>. Right now, to look at the last page of resources</w:t>
      </w:r>
      <w:r w:rsidR="005C4A1F">
        <w:t xml:space="preserve"> or any part of the story in-between</w:t>
      </w:r>
      <w:r w:rsidR="00B12276">
        <w:t xml:space="preserve">, one needs to go through the entire cycle of </w:t>
      </w:r>
      <w:r w:rsidR="005C4A1F">
        <w:t>clicking ticks (next)</w:t>
      </w:r>
      <w:r w:rsidR="00B12276">
        <w:t xml:space="preserve"> to reach the end. </w:t>
      </w:r>
    </w:p>
    <w:p w14:paraId="129D65F8" w14:textId="3B5D9444" w:rsidR="00802929" w:rsidRDefault="00802929" w:rsidP="000B489D">
      <w:pPr>
        <w:contextualSpacing/>
      </w:pPr>
    </w:p>
    <w:p w14:paraId="11C525A0" w14:textId="6B8CD1DD" w:rsidR="009556F0" w:rsidRDefault="004F0F9A" w:rsidP="009556F0">
      <w:r>
        <w:t xml:space="preserve">The end seems to be the most ambiguous part of the visualization. Even though the piece uses simple visuals to explain the randomness, one gets lost at the end. The piece claims to not use any statistical formulas to explain the theory of randomness in polling, </w:t>
      </w:r>
      <w:r w:rsidRPr="00236C82">
        <w:rPr>
          <w:noProof/>
        </w:rPr>
        <w:t>however</w:t>
      </w:r>
      <w:r w:rsidR="00236C82">
        <w:rPr>
          <w:noProof/>
        </w:rPr>
        <w:t>,</w:t>
      </w:r>
      <w:r>
        <w:t xml:space="preserve"> the last line “</w:t>
      </w:r>
      <w:r w:rsidRPr="00026026">
        <w:t>4 times the deviation was greater than 2 percentage points, the largest difference was 3.8 percentage point</w:t>
      </w:r>
      <w:r>
        <w:t>” requires at least intermediate knowledge of statistics.</w:t>
      </w:r>
      <w:r w:rsidR="009556F0">
        <w:t xml:space="preserve"> Another vague statement is the </w:t>
      </w:r>
      <w:r w:rsidR="009556F0" w:rsidRPr="00026026">
        <w:t xml:space="preserve">conducting </w:t>
      </w:r>
      <w:r w:rsidR="009556F0">
        <w:t>of “</w:t>
      </w:r>
      <w:r w:rsidR="009556F0" w:rsidRPr="00026026">
        <w:t xml:space="preserve">8 polls at </w:t>
      </w:r>
      <w:proofErr w:type="gramStart"/>
      <w:r w:rsidR="009556F0" w:rsidRPr="00026026">
        <w:t>exactly the same</w:t>
      </w:r>
      <w:proofErr w:type="gramEnd"/>
      <w:r w:rsidR="009556F0" w:rsidRPr="00026026">
        <w:t xml:space="preserve"> moment, with exactly the same number of surveyed people, with the same method and among the same group of people</w:t>
      </w:r>
      <w:r w:rsidR="009556F0">
        <w:t>.” No detail is given as to why 8 polls from the same set of people result in drastically different results?</w:t>
      </w:r>
    </w:p>
    <w:p w14:paraId="7A60B732" w14:textId="3CFF163D" w:rsidR="00802929" w:rsidRDefault="004F0F9A" w:rsidP="00802929">
      <w:pPr>
        <w:contextualSpacing/>
      </w:pPr>
      <w:r>
        <w:t xml:space="preserve"> After</w:t>
      </w:r>
      <w:r w:rsidR="00802929">
        <w:t xml:space="preserve"> the </w:t>
      </w:r>
      <w:r>
        <w:t>visualization</w:t>
      </w:r>
      <w:r w:rsidR="00802929">
        <w:t xml:space="preserve"> has made the point about chance in polling results, one is left wanting to see more. Maybe, a comparison between </w:t>
      </w:r>
      <w:r w:rsidR="00802929" w:rsidRPr="00236C82">
        <w:rPr>
          <w:noProof/>
        </w:rPr>
        <w:t>real</w:t>
      </w:r>
      <w:r w:rsidR="00236C82" w:rsidRPr="00236C82">
        <w:rPr>
          <w:noProof/>
        </w:rPr>
        <w:t>-</w:t>
      </w:r>
      <w:r w:rsidR="00802929" w:rsidRPr="00236C82">
        <w:rPr>
          <w:noProof/>
        </w:rPr>
        <w:t>life</w:t>
      </w:r>
      <w:r w:rsidR="00802929">
        <w:t xml:space="preserve"> pre-polling survey results and polling results with actual names of political parties could have been a good way to bridge the gap between a hypothetical situation and reality.  </w:t>
      </w:r>
      <w:r w:rsidR="00D26E91">
        <w:t xml:space="preserve">All in </w:t>
      </w:r>
      <w:proofErr w:type="gramStart"/>
      <w:r w:rsidR="00D26E91">
        <w:t>all</w:t>
      </w:r>
      <w:proofErr w:type="gramEnd"/>
      <w:r w:rsidR="00D26E91">
        <w:t xml:space="preserve"> rock n’ poll is a visually stimulating piece with a good narrative, but with the restricted linear movement and some ambiguous graphics and text, it </w:t>
      </w:r>
      <w:r w:rsidR="00236C82">
        <w:t xml:space="preserve">definitely </w:t>
      </w:r>
      <w:r w:rsidR="00D26E91">
        <w:t>is not for someone in a hurry or with low patience.</w:t>
      </w:r>
    </w:p>
    <w:p w14:paraId="100DBEE3" w14:textId="77777777" w:rsidR="00802929" w:rsidRDefault="00802929" w:rsidP="000B489D">
      <w:pPr>
        <w:contextualSpacing/>
      </w:pPr>
    </w:p>
    <w:p w14:paraId="66DD619D" w14:textId="55F6C117" w:rsidR="000D2A25" w:rsidRDefault="000D2A25" w:rsidP="000B489D">
      <w:pPr>
        <w:contextualSpacing/>
      </w:pPr>
    </w:p>
    <w:p w14:paraId="765A6F43" w14:textId="2F2666BD" w:rsidR="000D2A25" w:rsidRDefault="000D2A25" w:rsidP="000B489D">
      <w:pPr>
        <w:contextualSpacing/>
      </w:pPr>
    </w:p>
    <w:p w14:paraId="7CE14915" w14:textId="04E0BB06" w:rsidR="00714B1D" w:rsidRDefault="00714B1D" w:rsidP="00D26E91"/>
    <w:p w14:paraId="0EFE2838" w14:textId="602406AA" w:rsidR="00D23D75" w:rsidRDefault="00D23D75" w:rsidP="00D23D75">
      <w:pPr>
        <w:pStyle w:val="ListParagraph"/>
      </w:pPr>
    </w:p>
    <w:p w14:paraId="5F81AFEB" w14:textId="77777777" w:rsidR="00936B8F" w:rsidRDefault="00936B8F" w:rsidP="00D23D75">
      <w:pPr>
        <w:pStyle w:val="ListParagraph"/>
      </w:pPr>
    </w:p>
    <w:p w14:paraId="5C7654E6" w14:textId="0CC26007" w:rsidR="00936B8F" w:rsidRDefault="00936B8F" w:rsidP="00D23D75">
      <w:pPr>
        <w:pStyle w:val="ListParagraph"/>
      </w:pPr>
    </w:p>
    <w:sectPr w:rsidR="00936B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CBF582" w14:textId="77777777" w:rsidR="0069181A" w:rsidRDefault="0069181A" w:rsidP="0076621D">
      <w:pPr>
        <w:spacing w:after="0" w:line="240" w:lineRule="auto"/>
      </w:pPr>
      <w:r>
        <w:separator/>
      </w:r>
    </w:p>
  </w:endnote>
  <w:endnote w:type="continuationSeparator" w:id="0">
    <w:p w14:paraId="6B6E12FF" w14:textId="77777777" w:rsidR="0069181A" w:rsidRDefault="0069181A" w:rsidP="00766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0F8CF" w14:textId="77777777" w:rsidR="0069181A" w:rsidRDefault="0069181A" w:rsidP="0076621D">
      <w:pPr>
        <w:spacing w:after="0" w:line="240" w:lineRule="auto"/>
      </w:pPr>
      <w:r>
        <w:separator/>
      </w:r>
    </w:p>
  </w:footnote>
  <w:footnote w:type="continuationSeparator" w:id="0">
    <w:p w14:paraId="0104FDD3" w14:textId="77777777" w:rsidR="0069181A" w:rsidRDefault="0069181A" w:rsidP="0076621D">
      <w:pPr>
        <w:spacing w:after="0" w:line="240" w:lineRule="auto"/>
      </w:pPr>
      <w:r>
        <w:continuationSeparator/>
      </w:r>
    </w:p>
  </w:footnote>
  <w:footnote w:id="1">
    <w:p w14:paraId="1F502955" w14:textId="090FC16E" w:rsidR="00B169C6" w:rsidRDefault="00B169C6">
      <w:pPr>
        <w:pStyle w:val="FootnoteText"/>
      </w:pPr>
      <w:r>
        <w:rPr>
          <w:rStyle w:val="FootnoteReference"/>
        </w:rPr>
        <w:footnoteRef/>
      </w:r>
      <w:r>
        <w:t xml:space="preserve">  </w:t>
      </w:r>
      <w:r w:rsidRPr="00B169C6">
        <w:rPr>
          <w:iCs/>
          <w:noProof/>
        </w:rPr>
        <w:t>Kroese, D. P.; Brereton, T.; Taimre, T.; Botev, Z. I. (2014).</w:t>
      </w:r>
      <w:r w:rsidRPr="00B169C6">
        <w:rPr>
          <w:i/>
          <w:iCs/>
          <w:noProof/>
        </w:rPr>
        <w:t xml:space="preserve"> "Why the Monte Carlo method is so important today". </w:t>
      </w:r>
      <w:r w:rsidRPr="00B169C6">
        <w:rPr>
          <w:iCs/>
          <w:noProof/>
        </w:rPr>
        <w:t>WIREs Comput Stat. 6 (6): 386–392. </w:t>
      </w:r>
      <w:hyperlink r:id="rId1" w:tooltip="Digital object identifier" w:history="1">
        <w:r w:rsidRPr="00B169C6">
          <w:rPr>
            <w:noProof/>
          </w:rPr>
          <w:t>doi</w:t>
        </w:r>
      </w:hyperlink>
      <w:r w:rsidRPr="00B169C6">
        <w:rPr>
          <w:iCs/>
          <w:noProof/>
        </w:rPr>
        <w:t>:</w:t>
      </w:r>
      <w:hyperlink r:id="rId2" w:history="1">
        <w:r w:rsidRPr="00B169C6">
          <w:rPr>
            <w:noProof/>
          </w:rPr>
          <w:t>10.1002/wics.1314</w:t>
        </w:r>
      </w:hyperlink>
      <w:r w:rsidRPr="00B169C6">
        <w:rPr>
          <w:iCs/>
          <w:noProof/>
        </w:rPr>
        <w:t>.</w:t>
      </w:r>
    </w:p>
  </w:footnote>
  <w:footnote w:id="2">
    <w:p w14:paraId="3503F2C5" w14:textId="02DBF6D9" w:rsidR="0081266F" w:rsidRPr="0081266F" w:rsidRDefault="005A6D05" w:rsidP="0081266F">
      <w:pPr>
        <w:pStyle w:val="FootnoteText"/>
        <w:rPr>
          <w:noProof/>
          <w:sz w:val="24"/>
          <w:szCs w:val="24"/>
        </w:rPr>
      </w:pPr>
      <w:r>
        <w:rPr>
          <w:rStyle w:val="FootnoteReference"/>
        </w:rPr>
        <w:footnoteRef/>
      </w:r>
      <w:r>
        <w:t xml:space="preserve"> </w:t>
      </w:r>
      <w:r w:rsidR="0081266F">
        <w:fldChar w:fldCharType="begin"/>
      </w:r>
      <w:r w:rsidR="0081266F">
        <w:instrText xml:space="preserve"> BIBLIOGRAPHY  \l 1033 </w:instrText>
      </w:r>
      <w:r w:rsidR="0081266F">
        <w:fldChar w:fldCharType="separate"/>
      </w:r>
      <w:r w:rsidR="0081266F">
        <w:rPr>
          <w:noProof/>
        </w:rPr>
        <w:t xml:space="preserve"> </w:t>
      </w:r>
      <w:r w:rsidR="0081266F" w:rsidRPr="0081266F">
        <w:rPr>
          <w:iCs/>
          <w:noProof/>
        </w:rPr>
        <w:t>Tufte, Edward R. 1998. The Visual Display of Quantitative Information. Cheshire, Connecticut: Graphics Press.</w:t>
      </w:r>
    </w:p>
    <w:p w14:paraId="14767EDB" w14:textId="4B236529" w:rsidR="005A6D05" w:rsidRDefault="0081266F" w:rsidP="0081266F">
      <w:pPr>
        <w:pStyle w:val="FootnoteText"/>
      </w:pPr>
      <w:r>
        <w:fldChar w:fldCharType="end"/>
      </w:r>
    </w:p>
  </w:footnote>
  <w:footnote w:id="3">
    <w:p w14:paraId="2A6F642B" w14:textId="1DDB5D27" w:rsidR="00715568" w:rsidRDefault="0084751B" w:rsidP="00715568">
      <w:pPr>
        <w:pStyle w:val="FootnoteText"/>
        <w:rPr>
          <w:noProof/>
          <w:sz w:val="24"/>
          <w:szCs w:val="24"/>
        </w:rPr>
      </w:pPr>
      <w:r>
        <w:rPr>
          <w:rStyle w:val="FootnoteReference"/>
        </w:rPr>
        <w:footnoteRef/>
      </w:r>
      <w:r>
        <w:t xml:space="preserve"> </w:t>
      </w:r>
      <w:r w:rsidR="00715568">
        <w:fldChar w:fldCharType="begin"/>
      </w:r>
      <w:r w:rsidR="00715568">
        <w:instrText xml:space="preserve"> BIBLIOGRAPHY  \l 1033 </w:instrText>
      </w:r>
      <w:r w:rsidR="00715568">
        <w:fldChar w:fldCharType="separate"/>
      </w:r>
    </w:p>
    <w:p w14:paraId="0E6292F3" w14:textId="77777777" w:rsidR="00715568" w:rsidRPr="00715568" w:rsidRDefault="00715568" w:rsidP="00715568">
      <w:pPr>
        <w:pStyle w:val="Bibliography"/>
        <w:rPr>
          <w:iCs/>
          <w:noProof/>
          <w:sz w:val="20"/>
          <w:szCs w:val="20"/>
        </w:rPr>
      </w:pPr>
      <w:r w:rsidRPr="00715568">
        <w:rPr>
          <w:iCs/>
          <w:noProof/>
          <w:sz w:val="20"/>
          <w:szCs w:val="20"/>
        </w:rPr>
        <w:t>Tufte, Edward R. 2001. The Visual Display of Quantitative Information. Graphics Press.</w:t>
      </w:r>
    </w:p>
    <w:p w14:paraId="5CB1673E" w14:textId="5D6332AF" w:rsidR="0084751B" w:rsidRDefault="00715568" w:rsidP="00715568">
      <w:pPr>
        <w:pStyle w:val="FootnoteText"/>
      </w:pPr>
      <w:r>
        <w:fldChar w:fldCharType="end"/>
      </w:r>
    </w:p>
  </w:footnote>
  <w:footnote w:id="4">
    <w:p w14:paraId="69D05BDB" w14:textId="77777777" w:rsidR="00C00650" w:rsidRDefault="00C00650" w:rsidP="00C00650">
      <w:pPr>
        <w:pStyle w:val="FootnoteText"/>
        <w:rPr>
          <w:noProof/>
          <w:sz w:val="24"/>
          <w:szCs w:val="24"/>
        </w:rPr>
      </w:pPr>
      <w:r>
        <w:rPr>
          <w:rStyle w:val="FootnoteReference"/>
        </w:rPr>
        <w:footnoteRef/>
      </w:r>
      <w:r>
        <w:t xml:space="preserve">  </w:t>
      </w:r>
      <w:r>
        <w:fldChar w:fldCharType="begin"/>
      </w:r>
      <w:r>
        <w:instrText xml:space="preserve"> BIBLIOGRAPHY  \l 1033 </w:instrText>
      </w:r>
      <w:r>
        <w:fldChar w:fldCharType="separate"/>
      </w:r>
      <w:r>
        <w:rPr>
          <w:noProof/>
        </w:rPr>
        <w:t xml:space="preserve">Collinge, Robyn. 2017. </w:t>
      </w:r>
      <w:r>
        <w:rPr>
          <w:i/>
          <w:iCs/>
          <w:noProof/>
        </w:rPr>
        <w:t>How to Design for Color Blindness.</w:t>
      </w:r>
      <w:r>
        <w:rPr>
          <w:noProof/>
        </w:rPr>
        <w:t xml:space="preserve"> January 17. http://blog.usabilla.com/how-to-design-for-color-blindness/.</w:t>
      </w:r>
    </w:p>
    <w:p w14:paraId="7960D00C" w14:textId="77777777" w:rsidR="00C00650" w:rsidRDefault="00C00650" w:rsidP="00C00650">
      <w:pPr>
        <w:pStyle w:val="FootnoteText"/>
      </w:pP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4525D3"/>
    <w:multiLevelType w:val="hybridMultilevel"/>
    <w:tmpl w:val="8EB2A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7U0MTc2NbI0MzcwNDRQ0lEKTi0uzszPAykwrgUAaFg2DywAAAA="/>
  </w:docVars>
  <w:rsids>
    <w:rsidRoot w:val="00EA2A97"/>
    <w:rsid w:val="000134BE"/>
    <w:rsid w:val="00026026"/>
    <w:rsid w:val="00034A4B"/>
    <w:rsid w:val="00077C47"/>
    <w:rsid w:val="00096916"/>
    <w:rsid w:val="000A0A6D"/>
    <w:rsid w:val="000B489D"/>
    <w:rsid w:val="000C2A94"/>
    <w:rsid w:val="000C2AA6"/>
    <w:rsid w:val="000D07AB"/>
    <w:rsid w:val="000D2A25"/>
    <w:rsid w:val="00122D68"/>
    <w:rsid w:val="001441DC"/>
    <w:rsid w:val="0019346D"/>
    <w:rsid w:val="001D1290"/>
    <w:rsid w:val="00232609"/>
    <w:rsid w:val="00236C82"/>
    <w:rsid w:val="0027497C"/>
    <w:rsid w:val="002E7F6B"/>
    <w:rsid w:val="003573B1"/>
    <w:rsid w:val="00366E20"/>
    <w:rsid w:val="00375561"/>
    <w:rsid w:val="003B73F8"/>
    <w:rsid w:val="003D2DED"/>
    <w:rsid w:val="003E3A0E"/>
    <w:rsid w:val="00460CA4"/>
    <w:rsid w:val="004A4A4A"/>
    <w:rsid w:val="004A7CE9"/>
    <w:rsid w:val="004C03DC"/>
    <w:rsid w:val="004F0F9A"/>
    <w:rsid w:val="00520058"/>
    <w:rsid w:val="005355CA"/>
    <w:rsid w:val="005A5925"/>
    <w:rsid w:val="005A6D05"/>
    <w:rsid w:val="005C4A1F"/>
    <w:rsid w:val="005D23E8"/>
    <w:rsid w:val="005D4B98"/>
    <w:rsid w:val="005E54F9"/>
    <w:rsid w:val="00635D22"/>
    <w:rsid w:val="0069181A"/>
    <w:rsid w:val="006951AC"/>
    <w:rsid w:val="006D5868"/>
    <w:rsid w:val="006E10A0"/>
    <w:rsid w:val="00714B1D"/>
    <w:rsid w:val="00715568"/>
    <w:rsid w:val="00743613"/>
    <w:rsid w:val="0076621D"/>
    <w:rsid w:val="00795FCF"/>
    <w:rsid w:val="007A0525"/>
    <w:rsid w:val="007D1677"/>
    <w:rsid w:val="00802929"/>
    <w:rsid w:val="0081266F"/>
    <w:rsid w:val="0084751B"/>
    <w:rsid w:val="00875150"/>
    <w:rsid w:val="0089741F"/>
    <w:rsid w:val="00915F98"/>
    <w:rsid w:val="00926C10"/>
    <w:rsid w:val="00936B8F"/>
    <w:rsid w:val="00950B7D"/>
    <w:rsid w:val="009556F0"/>
    <w:rsid w:val="0098305B"/>
    <w:rsid w:val="009838CD"/>
    <w:rsid w:val="009D3827"/>
    <w:rsid w:val="00A065C2"/>
    <w:rsid w:val="00A23A15"/>
    <w:rsid w:val="00A73260"/>
    <w:rsid w:val="00A86413"/>
    <w:rsid w:val="00AA3F9E"/>
    <w:rsid w:val="00B12276"/>
    <w:rsid w:val="00B169C6"/>
    <w:rsid w:val="00B374D2"/>
    <w:rsid w:val="00B4515B"/>
    <w:rsid w:val="00B7220D"/>
    <w:rsid w:val="00BF6196"/>
    <w:rsid w:val="00C00650"/>
    <w:rsid w:val="00C45F7E"/>
    <w:rsid w:val="00C971FF"/>
    <w:rsid w:val="00CA4278"/>
    <w:rsid w:val="00CC496D"/>
    <w:rsid w:val="00CC64D5"/>
    <w:rsid w:val="00CD7C86"/>
    <w:rsid w:val="00D03AC9"/>
    <w:rsid w:val="00D23D75"/>
    <w:rsid w:val="00D26E91"/>
    <w:rsid w:val="00D41488"/>
    <w:rsid w:val="00D4677D"/>
    <w:rsid w:val="00D71CC7"/>
    <w:rsid w:val="00DB1101"/>
    <w:rsid w:val="00DE689A"/>
    <w:rsid w:val="00E20C05"/>
    <w:rsid w:val="00E21182"/>
    <w:rsid w:val="00E62BD4"/>
    <w:rsid w:val="00E6317F"/>
    <w:rsid w:val="00E70FC1"/>
    <w:rsid w:val="00E84D03"/>
    <w:rsid w:val="00EA2A97"/>
    <w:rsid w:val="00EB79B0"/>
    <w:rsid w:val="00EC40B4"/>
    <w:rsid w:val="00EC567F"/>
    <w:rsid w:val="00F169CF"/>
    <w:rsid w:val="00F176D2"/>
    <w:rsid w:val="00F4396D"/>
    <w:rsid w:val="00F678B7"/>
    <w:rsid w:val="00F87CFD"/>
    <w:rsid w:val="00FA5087"/>
    <w:rsid w:val="00FE5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B5D86"/>
  <w15:chartTrackingRefBased/>
  <w15:docId w15:val="{FF1F26B5-1EA6-4868-AAFA-EA425F7D7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89D"/>
    <w:pPr>
      <w:ind w:left="720"/>
      <w:contextualSpacing/>
    </w:pPr>
  </w:style>
  <w:style w:type="paragraph" w:styleId="FootnoteText">
    <w:name w:val="footnote text"/>
    <w:basedOn w:val="Normal"/>
    <w:link w:val="FootnoteTextChar"/>
    <w:uiPriority w:val="99"/>
    <w:unhideWhenUsed/>
    <w:rsid w:val="0076621D"/>
    <w:pPr>
      <w:spacing w:after="0" w:line="240" w:lineRule="auto"/>
    </w:pPr>
    <w:rPr>
      <w:sz w:val="20"/>
      <w:szCs w:val="20"/>
    </w:rPr>
  </w:style>
  <w:style w:type="character" w:customStyle="1" w:styleId="FootnoteTextChar">
    <w:name w:val="Footnote Text Char"/>
    <w:basedOn w:val="DefaultParagraphFont"/>
    <w:link w:val="FootnoteText"/>
    <w:uiPriority w:val="99"/>
    <w:rsid w:val="0076621D"/>
    <w:rPr>
      <w:sz w:val="20"/>
      <w:szCs w:val="20"/>
    </w:rPr>
  </w:style>
  <w:style w:type="character" w:styleId="FootnoteReference">
    <w:name w:val="footnote reference"/>
    <w:basedOn w:val="DefaultParagraphFont"/>
    <w:uiPriority w:val="99"/>
    <w:semiHidden/>
    <w:unhideWhenUsed/>
    <w:rsid w:val="0076621D"/>
    <w:rPr>
      <w:vertAlign w:val="superscript"/>
    </w:rPr>
  </w:style>
  <w:style w:type="paragraph" w:styleId="Bibliography">
    <w:name w:val="Bibliography"/>
    <w:basedOn w:val="Normal"/>
    <w:next w:val="Normal"/>
    <w:uiPriority w:val="37"/>
    <w:unhideWhenUsed/>
    <w:rsid w:val="00A73260"/>
  </w:style>
  <w:style w:type="character" w:styleId="HTMLCite">
    <w:name w:val="HTML Cite"/>
    <w:basedOn w:val="DefaultParagraphFont"/>
    <w:uiPriority w:val="99"/>
    <w:semiHidden/>
    <w:unhideWhenUsed/>
    <w:rsid w:val="00B169C6"/>
    <w:rPr>
      <w:i/>
      <w:iCs/>
    </w:rPr>
  </w:style>
  <w:style w:type="character" w:styleId="Hyperlink">
    <w:name w:val="Hyperlink"/>
    <w:basedOn w:val="DefaultParagraphFont"/>
    <w:uiPriority w:val="99"/>
    <w:semiHidden/>
    <w:unhideWhenUsed/>
    <w:rsid w:val="00B169C6"/>
    <w:rPr>
      <w:color w:val="0000FF"/>
      <w:u w:val="single"/>
    </w:rPr>
  </w:style>
  <w:style w:type="paragraph" w:styleId="BalloonText">
    <w:name w:val="Balloon Text"/>
    <w:basedOn w:val="Normal"/>
    <w:link w:val="BalloonTextChar"/>
    <w:uiPriority w:val="99"/>
    <w:semiHidden/>
    <w:unhideWhenUsed/>
    <w:rsid w:val="001D12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12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21377">
      <w:bodyDiv w:val="1"/>
      <w:marLeft w:val="0"/>
      <w:marRight w:val="0"/>
      <w:marTop w:val="0"/>
      <w:marBottom w:val="0"/>
      <w:divBdr>
        <w:top w:val="none" w:sz="0" w:space="0" w:color="auto"/>
        <w:left w:val="none" w:sz="0" w:space="0" w:color="auto"/>
        <w:bottom w:val="none" w:sz="0" w:space="0" w:color="auto"/>
        <w:right w:val="none" w:sz="0" w:space="0" w:color="auto"/>
      </w:divBdr>
    </w:div>
    <w:div w:id="128790339">
      <w:bodyDiv w:val="1"/>
      <w:marLeft w:val="0"/>
      <w:marRight w:val="0"/>
      <w:marTop w:val="0"/>
      <w:marBottom w:val="0"/>
      <w:divBdr>
        <w:top w:val="none" w:sz="0" w:space="0" w:color="auto"/>
        <w:left w:val="none" w:sz="0" w:space="0" w:color="auto"/>
        <w:bottom w:val="none" w:sz="0" w:space="0" w:color="auto"/>
        <w:right w:val="none" w:sz="0" w:space="0" w:color="auto"/>
      </w:divBdr>
    </w:div>
    <w:div w:id="307243921">
      <w:bodyDiv w:val="1"/>
      <w:marLeft w:val="0"/>
      <w:marRight w:val="0"/>
      <w:marTop w:val="0"/>
      <w:marBottom w:val="0"/>
      <w:divBdr>
        <w:top w:val="none" w:sz="0" w:space="0" w:color="auto"/>
        <w:left w:val="none" w:sz="0" w:space="0" w:color="auto"/>
        <w:bottom w:val="none" w:sz="0" w:space="0" w:color="auto"/>
        <w:right w:val="none" w:sz="0" w:space="0" w:color="auto"/>
      </w:divBdr>
    </w:div>
    <w:div w:id="391003668">
      <w:bodyDiv w:val="1"/>
      <w:marLeft w:val="0"/>
      <w:marRight w:val="0"/>
      <w:marTop w:val="0"/>
      <w:marBottom w:val="0"/>
      <w:divBdr>
        <w:top w:val="none" w:sz="0" w:space="0" w:color="auto"/>
        <w:left w:val="none" w:sz="0" w:space="0" w:color="auto"/>
        <w:bottom w:val="none" w:sz="0" w:space="0" w:color="auto"/>
        <w:right w:val="none" w:sz="0" w:space="0" w:color="auto"/>
      </w:divBdr>
    </w:div>
    <w:div w:id="669793716">
      <w:bodyDiv w:val="1"/>
      <w:marLeft w:val="0"/>
      <w:marRight w:val="0"/>
      <w:marTop w:val="0"/>
      <w:marBottom w:val="0"/>
      <w:divBdr>
        <w:top w:val="none" w:sz="0" w:space="0" w:color="auto"/>
        <w:left w:val="none" w:sz="0" w:space="0" w:color="auto"/>
        <w:bottom w:val="none" w:sz="0" w:space="0" w:color="auto"/>
        <w:right w:val="none" w:sz="0" w:space="0" w:color="auto"/>
      </w:divBdr>
    </w:div>
    <w:div w:id="815222908">
      <w:bodyDiv w:val="1"/>
      <w:marLeft w:val="0"/>
      <w:marRight w:val="0"/>
      <w:marTop w:val="0"/>
      <w:marBottom w:val="0"/>
      <w:divBdr>
        <w:top w:val="none" w:sz="0" w:space="0" w:color="auto"/>
        <w:left w:val="none" w:sz="0" w:space="0" w:color="auto"/>
        <w:bottom w:val="none" w:sz="0" w:space="0" w:color="auto"/>
        <w:right w:val="none" w:sz="0" w:space="0" w:color="auto"/>
      </w:divBdr>
    </w:div>
    <w:div w:id="1100686093">
      <w:bodyDiv w:val="1"/>
      <w:marLeft w:val="0"/>
      <w:marRight w:val="0"/>
      <w:marTop w:val="0"/>
      <w:marBottom w:val="0"/>
      <w:divBdr>
        <w:top w:val="none" w:sz="0" w:space="0" w:color="auto"/>
        <w:left w:val="none" w:sz="0" w:space="0" w:color="auto"/>
        <w:bottom w:val="none" w:sz="0" w:space="0" w:color="auto"/>
        <w:right w:val="none" w:sz="0" w:space="0" w:color="auto"/>
      </w:divBdr>
    </w:div>
    <w:div w:id="1116483473">
      <w:bodyDiv w:val="1"/>
      <w:marLeft w:val="0"/>
      <w:marRight w:val="0"/>
      <w:marTop w:val="0"/>
      <w:marBottom w:val="0"/>
      <w:divBdr>
        <w:top w:val="none" w:sz="0" w:space="0" w:color="auto"/>
        <w:left w:val="none" w:sz="0" w:space="0" w:color="auto"/>
        <w:bottom w:val="none" w:sz="0" w:space="0" w:color="auto"/>
        <w:right w:val="none" w:sz="0" w:space="0" w:color="auto"/>
      </w:divBdr>
    </w:div>
    <w:div w:id="1326938094">
      <w:bodyDiv w:val="1"/>
      <w:marLeft w:val="0"/>
      <w:marRight w:val="0"/>
      <w:marTop w:val="0"/>
      <w:marBottom w:val="0"/>
      <w:divBdr>
        <w:top w:val="none" w:sz="0" w:space="0" w:color="auto"/>
        <w:left w:val="none" w:sz="0" w:space="0" w:color="auto"/>
        <w:bottom w:val="none" w:sz="0" w:space="0" w:color="auto"/>
        <w:right w:val="none" w:sz="0" w:space="0" w:color="auto"/>
      </w:divBdr>
    </w:div>
    <w:div w:id="1637956582">
      <w:bodyDiv w:val="1"/>
      <w:marLeft w:val="0"/>
      <w:marRight w:val="0"/>
      <w:marTop w:val="0"/>
      <w:marBottom w:val="0"/>
      <w:divBdr>
        <w:top w:val="none" w:sz="0" w:space="0" w:color="auto"/>
        <w:left w:val="none" w:sz="0" w:space="0" w:color="auto"/>
        <w:bottom w:val="none" w:sz="0" w:space="0" w:color="auto"/>
        <w:right w:val="none" w:sz="0" w:space="0" w:color="auto"/>
      </w:divBdr>
    </w:div>
    <w:div w:id="1643074096">
      <w:bodyDiv w:val="1"/>
      <w:marLeft w:val="0"/>
      <w:marRight w:val="0"/>
      <w:marTop w:val="0"/>
      <w:marBottom w:val="0"/>
      <w:divBdr>
        <w:top w:val="none" w:sz="0" w:space="0" w:color="auto"/>
        <w:left w:val="none" w:sz="0" w:space="0" w:color="auto"/>
        <w:bottom w:val="none" w:sz="0" w:space="0" w:color="auto"/>
        <w:right w:val="none" w:sz="0" w:space="0" w:color="auto"/>
      </w:divBdr>
    </w:div>
    <w:div w:id="1652752620">
      <w:bodyDiv w:val="1"/>
      <w:marLeft w:val="0"/>
      <w:marRight w:val="0"/>
      <w:marTop w:val="0"/>
      <w:marBottom w:val="0"/>
      <w:divBdr>
        <w:top w:val="none" w:sz="0" w:space="0" w:color="auto"/>
        <w:left w:val="none" w:sz="0" w:space="0" w:color="auto"/>
        <w:bottom w:val="none" w:sz="0" w:space="0" w:color="auto"/>
        <w:right w:val="none" w:sz="0" w:space="0" w:color="auto"/>
      </w:divBdr>
    </w:div>
    <w:div w:id="1760952612">
      <w:bodyDiv w:val="1"/>
      <w:marLeft w:val="0"/>
      <w:marRight w:val="0"/>
      <w:marTop w:val="0"/>
      <w:marBottom w:val="0"/>
      <w:divBdr>
        <w:top w:val="none" w:sz="0" w:space="0" w:color="auto"/>
        <w:left w:val="none" w:sz="0" w:space="0" w:color="auto"/>
        <w:bottom w:val="none" w:sz="0" w:space="0" w:color="auto"/>
        <w:right w:val="none" w:sz="0" w:space="0" w:color="auto"/>
      </w:divBdr>
    </w:div>
    <w:div w:id="203541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doi.org/10.1002%2Fwics.1314" TargetMode="External"/><Relationship Id="rId1" Type="http://schemas.openxmlformats.org/officeDocument/2006/relationships/hyperlink" Target="https://en.wikipedia.org/wiki/Digital_object_ident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Rob17</b:Tag>
    <b:SourceType>InternetSite</b:SourceType>
    <b:Guid>{BF2C30C3-98A4-4D31-8017-3F3B088F9936}</b:Guid>
    <b:Author>
      <b:Author>
        <b:NameList>
          <b:Person>
            <b:Last>Collinge</b:Last>
            <b:First>Robyn</b:First>
          </b:Person>
        </b:NameList>
      </b:Author>
    </b:Author>
    <b:Title>How to Design for Color Blindness</b:Title>
    <b:Year>2017</b:Year>
    <b:Month>January</b:Month>
    <b:Day>17</b:Day>
    <b:URL>http://blog.usabilla.com/how-to-design-for-color-blindness/</b:URL>
    <b:RefOrder>1</b:RefOrder>
  </b:Source>
  <b:Source>
    <b:Tag>Tuf98</b:Tag>
    <b:SourceType>Book</b:SourceType>
    <b:Guid>{77AF4AEE-081D-4840-A65C-49FC8161EB3D}</b:Guid>
    <b:Author>
      <b:Author>
        <b:NameList>
          <b:Person>
            <b:Last>Tufte</b:Last>
            <b:First>Edward</b:First>
            <b:Middle>R.</b:Middle>
          </b:Person>
        </b:NameList>
      </b:Author>
    </b:Author>
    <b:Title>The Visual Display of Quantitative Information</b:Title>
    <b:Year>1998</b:Year>
    <b:City>Cheshire, Connecticut</b:City>
    <b:Publisher>Graphics Press</b:Publisher>
    <b:RefOrder>2</b:RefOrder>
  </b:Source>
  <b:Source>
    <b:Tag>Edw01</b:Tag>
    <b:SourceType>Book</b:SourceType>
    <b:Guid>{36900348-772F-4275-B79E-DE99C4D077AF}</b:Guid>
    <b:Author>
      <b:Author>
        <b:NameList>
          <b:Person>
            <b:Last>Tufte</b:Last>
            <b:First>Edward</b:First>
            <b:Middle>R</b:Middle>
          </b:Person>
        </b:NameList>
      </b:Author>
    </b:Author>
    <b:Title>The Visual Display of Quantitative Information</b:Title>
    <b:Year>2001</b:Year>
    <b:Publisher>Graphics Press</b:Publisher>
    <b:RefOrder>3</b:RefOrder>
  </b:Source>
</b:Sources>
</file>

<file path=customXml/itemProps1.xml><?xml version="1.0" encoding="utf-8"?>
<ds:datastoreItem xmlns:ds="http://schemas.openxmlformats.org/officeDocument/2006/customXml" ds:itemID="{7311DD15-5CDD-4563-8EDB-734BDA8AF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2901</TotalTime>
  <Pages>1</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Shanjit Jajmann</dc:creator>
  <cp:keywords/>
  <dc:description/>
  <cp:lastModifiedBy>Shanjit Jajmann</cp:lastModifiedBy>
  <cp:revision>61</cp:revision>
  <cp:lastPrinted>2018-03-26T21:34:00Z</cp:lastPrinted>
  <dcterms:created xsi:type="dcterms:W3CDTF">2018-03-19T15:31:00Z</dcterms:created>
  <dcterms:modified xsi:type="dcterms:W3CDTF">2018-03-27T05:49:00Z</dcterms:modified>
</cp:coreProperties>
</file>