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1F3864"/>
          <w:sz w:val="40"/>
          <w:szCs w:val="40"/>
        </w:rPr>
        <w:t xml:space="preserve">Hardware Replacement Policy</w:t>
      </w:r>
    </w:p>
    <w:p>
      <w:pPr>
        <w:spacing w:after="150"/>
      </w:pPr>
      <w:r>
        <w:t xml:space="preserve">Document owner: IT Asset Management   |   Last updated: January 2026</w:t>
      </w:r>
    </w:p>
    <w:p>
      <w:pPr>
        <w:pStyle w:val="Heading2"/>
        <w:spacing w:after="150" w:before="300"/>
      </w:pPr>
      <w:r>
        <w:t xml:space="preserve">Purpose</w:t>
      </w:r>
    </w:p>
    <w:p>
      <w:pPr>
        <w:spacing w:after="150"/>
      </w:pPr>
      <w:r>
        <w:t xml:space="preserve">This policy outlines when company hardware (laptops, monitors, peripherals) is eligible for replacement, how to report hardware issues, and expected turnaround times.</w:t>
      </w:r>
    </w:p>
    <w:p>
      <w:pPr>
        <w:pStyle w:val="Heading2"/>
        <w:spacing w:after="150" w:before="300"/>
      </w:pPr>
      <w:r>
        <w:t xml:space="preserve">Standard Replacement Cycle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Laptops are replaced on a 3-year standard refresh cycle.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Monitors and peripherals are replaced on an as-needed basis upon failure.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Employees in specialized roles (e.g., engineering, design) may be eligible for upgraded hardware — request through your manager.</w:t>
      </w:r>
    </w:p>
    <w:p>
      <w:pPr>
        <w:pStyle w:val="Heading2"/>
        <w:spacing w:after="150" w:before="300"/>
      </w:pPr>
      <w:r>
        <w:t xml:space="preserve">Reporting a Hardware Issue</w:t>
      </w:r>
    </w:p>
    <w:p>
      <w:pPr>
        <w:spacing w:after="150"/>
      </w:pPr>
      <w:r>
        <w:t xml:space="preserve">1. Submit an IT Support ticket describing the issue, including the asset tag (found on the bottom of the device).</w:t>
      </w:r>
    </w:p>
    <w:p>
      <w:pPr>
        <w:spacing w:after="150"/>
      </w:pPr>
      <w:r>
        <w:t xml:space="preserve">2. Set Priority based on impact: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High: Device is completely unusable or issue blocks critical work (e.g., will not power 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Medium: Device is usable but the issue affects performance or reliability (e.g., battery draining quickly).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Low: Minor cosmetic or non-blocking issues.</w:t>
      </w:r>
    </w:p>
    <w:p>
      <w:pPr>
        <w:pStyle w:val="Heading2"/>
        <w:spacing w:after="150" w:before="300"/>
      </w:pPr>
      <w:r>
        <w:t xml:space="preserve">Example: Battery Issues</w:t>
      </w:r>
    </w:p>
    <w:p>
      <w:pPr>
        <w:spacing w:after="150"/>
      </w:pPr>
      <w:r>
        <w:t xml:space="preserve">Example ticket: "Laptop battery issue" — Status: In Progress, Priority: Medium. Battery-related issues are typically diagnosed remotely first; if the battery cannot be serviced, a loaner device is issued within 2 business days while the original is repaired or replaced.</w:t>
      </w:r>
    </w:p>
    <w:p>
      <w:pPr>
        <w:pStyle w:val="Heading2"/>
        <w:spacing w:after="150" w:before="300"/>
      </w:pPr>
      <w:r>
        <w:t xml:space="preserve">Loaner Devices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Available for employees whose primary device is being repaired or replaced.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Must be returned within 5 business days of receiving the permanent replacement.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Loaner devices are pre-imaged with standard company software only.</w:t>
      </w:r>
    </w:p>
    <w:p>
      <w:pPr>
        <w:pStyle w:val="Heading2"/>
        <w:spacing w:after="150" w:before="300"/>
      </w:pPr>
      <w:r>
        <w:t xml:space="preserve">Employee Responsibilities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 damage or loss within 24 hours to IT Asset Management.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Physical damage due to negligence may be subject to a partial replacement cost, per the Acceptable Use Agreement.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Return all company hardware upon termination of employment or contract.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2026-07-24T12:19:29.423Z</dcterms:created>
  <dcterms:modified xsi:type="dcterms:W3CDTF">2026-07-24T12:19:29.423Z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