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</w:t>
      </w:r>
    </w:p>
    <w:p>
      <w:r>
        <w:t>Smith and Johnson (2024) report a strong benchmark. Davis et al. (2023) confirms the trend.</w:t>
      </w:r>
    </w:p>
    <w:p>
      <w:pPr>
        <w:pStyle w:val="Heading1"/>
      </w:pPr>
      <w:r>
        <w:t>2. Methods</w:t>
      </w:r>
    </w:p>
    <w:p>
      <w:r>
        <w:t>We compare against the prior work.</w:t>
      </w:r>
    </w:p>
    <w:p>
      <w:pPr>
        <w:pStyle w:val="Heading1"/>
      </w:pPr>
      <w:r>
        <w:t>References</w:t>
      </w:r>
    </w:p>
    <w:p>
      <w:r>
        <w:t>1. Smith, J. and Johnson, K. Clinical benchmarking. Journal of Methods. 2024.</w:t>
      </w:r>
    </w:p>
    <w:p>
      <w:r>
        <w:t>2. Davis, L. et al. Prior trends in evaluation. ML Review.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