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 Learning for Clinical Diagnosis</w:t>
      </w:r>
    </w:p>
    <w:p>
      <w:r>
        <w:t>A. Lee, B. Patel</w:t>
      </w:r>
    </w:p>
    <w:p>
      <w:r>
        <w:t>Abstract: We propose a deep learning approach for diagnosis using chest imaging. The method uses CNNs and compares to baseline models. [1], [2]</w:t>
      </w:r>
    </w:p>
    <w:p>
      <w:pPr>
        <w:pStyle w:val="Heading1"/>
      </w:pPr>
      <w:r>
        <w:t>Introduction</w:t>
      </w:r>
    </w:p>
    <w:p>
      <w:r>
        <w:t>Existing work relies on handcrafted features. This gap motivates our CNN-based pipeline.</w:t>
      </w:r>
    </w:p>
    <w:p>
      <w:pPr>
        <w:pStyle w:val="Heading1"/>
      </w:pPr>
      <w:r>
        <w:t>Methodology</w:t>
      </w:r>
    </w:p>
    <w:p>
      <w:r>
        <w:t>We use a ResNet-50 model trained on 12,000 CT scans using Adam with learning rate 0.001.</w:t>
      </w:r>
    </w:p>
    <w:p>
      <w:pPr>
        <w:pStyle w:val="Heading1"/>
      </w:pPr>
      <w:r>
        <w:t>Results</w:t>
      </w:r>
    </w:p>
    <w:p>
      <w:r>
        <w:t>The model achieved Macro-F1 of 0.89 and AUROC of 0.94.</w:t>
      </w:r>
    </w:p>
    <w:p>
      <w:pPr>
        <w:pStyle w:val="Heading1"/>
      </w:pPr>
      <w:r>
        <w:t>References</w:t>
      </w:r>
    </w:p>
    <w:p>
      <w:r>
        <w:t>[1] Smith J. Medical imaging AI. Nature 2024.</w:t>
      </w:r>
    </w:p>
    <w:p>
      <w:r>
        <w:t>[2] Jones A. Clinical computer vision. IEEE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