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Associate Legal Director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email:</w:t>
      </w:r>
      <w:hyperlink r:id="rId6">
        <w:r w:rsidDel="00000000" w:rsidR="00000000" w:rsidRPr="00000000">
          <w:rPr>
            <w:rFonts w:ascii="Roboto" w:cs="Roboto" w:eastAsia="Roboto" w:hAnsi="Roboto"/>
            <w:color w:val="1155cc"/>
            <w:sz w:val="20"/>
            <w:szCs w:val="20"/>
            <w:u w:val="single"/>
            <w:rtl w:val="0"/>
          </w:rPr>
          <w:t xml:space="preserve">eighthCvReem@gmail.com</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Education: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Bachelor of Laws (LLB)</w:t>
        <w:br w:type="textWrapping"/>
      </w:r>
      <w:r w:rsidDel="00000000" w:rsidR="00000000" w:rsidRPr="00000000">
        <w:rPr>
          <w:rFonts w:ascii="Roboto" w:cs="Roboto" w:eastAsia="Roboto" w:hAnsi="Roboto"/>
          <w:sz w:val="20"/>
          <w:szCs w:val="20"/>
          <w:rtl w:val="0"/>
        </w:rPr>
        <w:t xml:space="preserve">King saud university</w:t>
      </w:r>
      <w:r w:rsidDel="00000000" w:rsidR="00000000" w:rsidRPr="00000000">
        <w:rPr>
          <w:rFonts w:ascii="Roboto" w:cs="Roboto" w:eastAsia="Roboto" w:hAnsi="Roboto"/>
          <w:sz w:val="20"/>
          <w:szCs w:val="20"/>
          <w:rtl w:val="0"/>
        </w:rPr>
        <w:t xml:space="preserve">, 2010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Summary: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Results-driven Associate Legal Director with expertise in legal and compliance management within the Middle East region. Skilled in contract negotiation, governance, and providing practical legal solutions. Demonstrated ability to lead and manage legal and compliance functions, ensuring adherence to applicable laws, regulations, and codes. Adept at building relationships with key stakeholders and representing the company in government interactions. Strong analytical, communication, and leadership skills.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Professional Experience: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i w:val="1"/>
          <w:sz w:val="20"/>
          <w:szCs w:val="20"/>
        </w:rPr>
      </w:pPr>
      <w:r w:rsidDel="00000000" w:rsidR="00000000" w:rsidRPr="00000000">
        <w:rPr>
          <w:rFonts w:ascii="Roboto" w:cs="Roboto" w:eastAsia="Roboto" w:hAnsi="Roboto"/>
          <w:b w:val="1"/>
          <w:sz w:val="20"/>
          <w:szCs w:val="20"/>
          <w:rtl w:val="0"/>
        </w:rPr>
        <w:t xml:space="preserve">Associate Legal Director</w:t>
        <w:br w:type="textWrapping"/>
      </w:r>
      <w:r w:rsidDel="00000000" w:rsidR="00000000" w:rsidRPr="00000000">
        <w:rPr>
          <w:rFonts w:ascii="Roboto" w:cs="Roboto" w:eastAsia="Roboto" w:hAnsi="Roboto"/>
          <w:i w:val="1"/>
          <w:sz w:val="20"/>
          <w:szCs w:val="20"/>
          <w:rtl w:val="0"/>
        </w:rPr>
        <w:t xml:space="preserve">Gilead Sciences, Middle East</w:t>
        <w:br w:type="textWrapping"/>
        <w:t xml:space="preserve">Dates</w:t>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Attend and actively contribute to discussions and decisions at Saudi Leadership Team meetings, providing responsive legal and business partner support.</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Ensure robust governance of three legal entities in KSA and extensive support for oncology business, including cell therapy.</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Lead and manage the Legal and Compliance function in Saudi Arabia affiliates and act as an advisor to the business in other Middle East countries.</w:t>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Provide practical legal advice, acting as a "wise counsel" and offering solutions to challenges faced by Gilead in KSA.</w:t>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Advise Gilead's Saudi affiliates and support Middle East countries, ensuring compliance with policies, laws, and codes.</w:t>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Collaborate with Business Units, Market Access, Commercial Operations, and functional departments on legal and compliance matters.</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Represent the company in meetings with key government stakeholders in Saudi.</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Oversee and support management of distributors in KSA and other ME countries, including drafting and negotiating contracts.</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Demonstrate a strong command of corporate and investment laws, healthcare regulatory laws, and commercial contracts law.</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Analyze pricing and reimbursement decision-making processes, commissioning policies, and clinical guideline development.</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Manage relationships with external law firms and provide guidance on litigation and investigations.</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Draft, review, and negotiate various commercial agreements, including service agreements, distribution/supply agreements, and licenses.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Share information and knowledge through presentations and discussions with peers and managers.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 Skills:</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Legal and Regulatory Knowledge</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Governance and Compliance</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Contract Management</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Business Advisory</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Healthcare Compliance</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Government Relations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Distribution and Third-Party Management</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Litigation and Investigations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Pricing and Reimbursement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Soft Skills: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Collaboration and Teamwork</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Relationship Building</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Adaptability</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Problem-Solving Abilities</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Attention to Detail</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Leadership Skills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7f7f7" w:val="clear"/>
        <w:spacing w:line="408"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Languages:</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English (Fluent)</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7f7f7" w:val="clear"/>
        <w:spacing w:line="408" w:lineRule="auto"/>
        <w:ind w:left="720" w:hanging="360"/>
        <w:rPr>
          <w:sz w:val="20"/>
          <w:szCs w:val="20"/>
        </w:rPr>
      </w:pPr>
      <w:r w:rsidDel="00000000" w:rsidR="00000000" w:rsidRPr="00000000">
        <w:rPr>
          <w:rFonts w:ascii="Roboto" w:cs="Roboto" w:eastAsia="Roboto" w:hAnsi="Roboto"/>
          <w:sz w:val="20"/>
          <w:szCs w:val="20"/>
          <w:rtl w:val="0"/>
        </w:rPr>
        <w:t xml:space="preserve">Arabic (Proficient)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8fafd" w:val="clear"/>
        <w:spacing w:line="408"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8fafd" w:val="clear"/>
        <w:spacing w:line="408" w:lineRule="auto"/>
        <w:jc w:val="both"/>
        <w:rPr>
          <w:color w:val="0000ff"/>
          <w:sz w:val="20"/>
          <w:szCs w:val="2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ighthCvReem@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