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BA1A" w14:textId="77777777" w:rsidR="00544367" w:rsidRDefault="00000000">
      <w:pPr>
        <w:pStyle w:val="Heading1"/>
      </w:pPr>
      <w:r>
        <w:t>AI Loan Eligibility Assistant</w:t>
      </w:r>
    </w:p>
    <w:p w14:paraId="30D85A80" w14:textId="77777777" w:rsidR="00544367" w:rsidRDefault="00000000">
      <w:pPr>
        <w:spacing w:after="200"/>
      </w:pPr>
      <w:r>
        <w:rPr>
          <w:b/>
          <w:bCs/>
        </w:rPr>
        <w:t xml:space="preserve">Use case: </w:t>
      </w:r>
      <w:r>
        <w:t>AI-powered loan eligibility guidance for a retail bank</w:t>
      </w:r>
    </w:p>
    <w:p w14:paraId="7714BF6E" w14:textId="77777777" w:rsidR="00544367" w:rsidRDefault="00000000">
      <w:pPr>
        <w:spacing w:after="300"/>
      </w:pPr>
      <w:r>
        <w:t>This lifecycle maps the nine stages a regulated, AI-powered lending decision-support tool moves through, from initial framing to eventual retirement. Each stage produces artifacts — documentation, test results, sign-offs, and logs — that a validator, regulator, or internal auditor could review at any point, even months after deployment.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727"/>
        <w:gridCol w:w="4749"/>
        <w:gridCol w:w="7195"/>
      </w:tblGrid>
      <w:tr w:rsidR="00544367" w14:paraId="428F2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4E79"/>
          </w:tcPr>
          <w:p w14:paraId="7200E47B" w14:textId="77777777" w:rsidR="0054436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00" w:type="pct"/>
            <w:shd w:val="clear" w:color="auto" w:fill="1F4E79"/>
          </w:tcPr>
          <w:p w14:paraId="274A36E6" w14:textId="77777777" w:rsidR="00544367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650" w:type="pct"/>
            <w:shd w:val="clear" w:color="auto" w:fill="1F4E79"/>
          </w:tcPr>
          <w:p w14:paraId="6528E4E7" w14:textId="77777777" w:rsidR="0054436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pct"/>
            <w:shd w:val="clear" w:color="auto" w:fill="1F4E79"/>
          </w:tcPr>
          <w:p w14:paraId="6CE25977" w14:textId="77777777" w:rsidR="00544367" w:rsidRDefault="00000000">
            <w:r>
              <w:rPr>
                <w:b/>
                <w:bCs/>
                <w:color w:val="FFFFFF"/>
              </w:rPr>
              <w:t>Additional Considerations</w:t>
            </w:r>
          </w:p>
        </w:tc>
      </w:tr>
      <w:tr w:rsidR="00544367" w14:paraId="21BA41D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2F2"/>
          </w:tcPr>
          <w:p w14:paraId="0983F444" w14:textId="77777777" w:rsidR="00544367" w:rsidRDefault="00000000">
            <w:pPr>
              <w:jc w:val="center"/>
            </w:pPr>
            <w:r>
              <w:t>1</w:t>
            </w:r>
          </w:p>
        </w:tc>
        <w:tc>
          <w:tcPr>
            <w:tcW w:w="600" w:type="pct"/>
            <w:shd w:val="clear" w:color="auto" w:fill="F2F2F2"/>
          </w:tcPr>
          <w:p w14:paraId="263E7B5E" w14:textId="77777777" w:rsidR="00544367" w:rsidRDefault="00000000">
            <w:r>
              <w:rPr>
                <w:b/>
                <w:bCs/>
              </w:rPr>
              <w:t>Ideation</w:t>
            </w:r>
          </w:p>
        </w:tc>
        <w:tc>
          <w:tcPr>
            <w:tcW w:w="1650" w:type="pct"/>
            <w:shd w:val="clear" w:color="auto" w:fill="F2F2F2"/>
          </w:tcPr>
          <w:p w14:paraId="460F947F" w14:textId="77777777" w:rsidR="00544367" w:rsidRDefault="00000000">
            <w:r>
              <w:t>Business problem framed as a high-value banking use case: faster, safer loan eligibility support.</w:t>
            </w:r>
          </w:p>
        </w:tc>
        <w:tc>
          <w:tcPr>
            <w:tcW w:w="2500" w:type="pct"/>
            <w:shd w:val="clear" w:color="auto" w:fill="F2F2F2"/>
          </w:tcPr>
          <w:p w14:paraId="5EC0B3B0" w14:textId="77777777" w:rsidR="00544367" w:rsidRDefault="00000000">
            <w:r>
              <w:t>Stakeholders from lending, risk, compliance, and product align on scope and success metrics. A preliminary cost-benefit and feasibility check confirms the use case merits further investment.</w:t>
            </w:r>
          </w:p>
        </w:tc>
      </w:tr>
      <w:tr w:rsidR="00544367" w14:paraId="63EEF61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017C2229" w14:textId="77777777" w:rsidR="00544367" w:rsidRDefault="00000000">
            <w:pPr>
              <w:jc w:val="center"/>
            </w:pPr>
            <w:r>
              <w:t>2</w:t>
            </w:r>
          </w:p>
        </w:tc>
        <w:tc>
          <w:tcPr>
            <w:tcW w:w="600" w:type="pct"/>
            <w:shd w:val="clear" w:color="auto" w:fill="FFFFFF"/>
          </w:tcPr>
          <w:p w14:paraId="12371E98" w14:textId="77777777" w:rsidR="00544367" w:rsidRDefault="00000000">
            <w:r>
              <w:rPr>
                <w:b/>
                <w:bCs/>
              </w:rPr>
              <w:t>Intake</w:t>
            </w:r>
          </w:p>
        </w:tc>
        <w:tc>
          <w:tcPr>
            <w:tcW w:w="1650" w:type="pct"/>
            <w:shd w:val="clear" w:color="auto" w:fill="FFFFFF"/>
          </w:tcPr>
          <w:p w14:paraId="679D5A53" w14:textId="77777777" w:rsidR="00544367" w:rsidRDefault="00000000">
            <w:r>
              <w:t>Formal submission of applicant data, credit profile, policy documents, and user context.</w:t>
            </w:r>
          </w:p>
        </w:tc>
        <w:tc>
          <w:tcPr>
            <w:tcW w:w="2500" w:type="pct"/>
            <w:shd w:val="clear" w:color="auto" w:fill="FFFFFF"/>
          </w:tcPr>
          <w:p w14:paraId="1A9F14D5" w14:textId="77777777" w:rsidR="00544367" w:rsidRDefault="00000000">
            <w:r>
              <w:t>Data lineage and consent basis for each input source are recorded at intake, since these records become critical evidence during later audits.</w:t>
            </w:r>
          </w:p>
        </w:tc>
      </w:tr>
      <w:tr w:rsidR="00544367" w14:paraId="4A9FF8B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2F2"/>
          </w:tcPr>
          <w:p w14:paraId="61647BFE" w14:textId="77777777" w:rsidR="00544367" w:rsidRDefault="00000000">
            <w:pPr>
              <w:jc w:val="center"/>
            </w:pPr>
            <w:r>
              <w:t>3</w:t>
            </w:r>
          </w:p>
        </w:tc>
        <w:tc>
          <w:tcPr>
            <w:tcW w:w="600" w:type="pct"/>
            <w:shd w:val="clear" w:color="auto" w:fill="F2F2F2"/>
          </w:tcPr>
          <w:p w14:paraId="66F5A7B9" w14:textId="77777777" w:rsidR="00544367" w:rsidRDefault="00000000">
            <w:r>
              <w:rPr>
                <w:b/>
                <w:bCs/>
              </w:rPr>
              <w:t>Risk Tiering</w:t>
            </w:r>
          </w:p>
        </w:tc>
        <w:tc>
          <w:tcPr>
            <w:tcW w:w="1650" w:type="pct"/>
            <w:shd w:val="clear" w:color="auto" w:fill="F2F2F2"/>
          </w:tcPr>
          <w:p w14:paraId="793045FC" w14:textId="77777777" w:rsidR="00544367" w:rsidRDefault="00000000">
            <w:r>
              <w:t>Classified per banking risk and sensitivity, with strict controls for regulated decision support.</w:t>
            </w:r>
          </w:p>
        </w:tc>
        <w:tc>
          <w:tcPr>
            <w:tcW w:w="2500" w:type="pct"/>
            <w:shd w:val="clear" w:color="auto" w:fill="F2F2F2"/>
          </w:tcPr>
          <w:p w14:paraId="4BF9D653" w14:textId="77777777" w:rsidR="00544367" w:rsidRDefault="00000000">
            <w:r>
              <w:t>Tiering determines downstream requirements automatically — higher tiers trigger mandatory human review, stricter model explainability standards, and more frequent revalidation cycles.</w:t>
            </w:r>
          </w:p>
        </w:tc>
      </w:tr>
      <w:tr w:rsidR="00544367" w14:paraId="22CEFC2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76150753" w14:textId="77777777" w:rsidR="00544367" w:rsidRDefault="00000000">
            <w:pPr>
              <w:jc w:val="center"/>
            </w:pPr>
            <w:r>
              <w:t>4</w:t>
            </w:r>
          </w:p>
        </w:tc>
        <w:tc>
          <w:tcPr>
            <w:tcW w:w="600" w:type="pct"/>
            <w:shd w:val="clear" w:color="auto" w:fill="FFFFFF"/>
          </w:tcPr>
          <w:p w14:paraId="1FC6F79C" w14:textId="77777777" w:rsidR="00544367" w:rsidRDefault="00000000">
            <w:r>
              <w:rPr>
                <w:b/>
                <w:bCs/>
              </w:rPr>
              <w:t>Design</w:t>
            </w:r>
          </w:p>
        </w:tc>
        <w:tc>
          <w:tcPr>
            <w:tcW w:w="1650" w:type="pct"/>
            <w:shd w:val="clear" w:color="auto" w:fill="FFFFFF"/>
          </w:tcPr>
          <w:p w14:paraId="2F15EA46" w14:textId="77777777" w:rsidR="00544367" w:rsidRDefault="00000000">
            <w:r>
              <w:t>Architecture and controls sized to the risk tier, including human review and auditability.</w:t>
            </w:r>
          </w:p>
        </w:tc>
        <w:tc>
          <w:tcPr>
            <w:tcW w:w="2500" w:type="pct"/>
            <w:shd w:val="clear" w:color="auto" w:fill="FFFFFF"/>
          </w:tcPr>
          <w:p w14:paraId="76C947A8" w14:textId="77777777" w:rsidR="00544367" w:rsidRDefault="00000000">
            <w:r>
              <w:t>Includes designing fallback paths for low-confidence predictions, defining the human-in-the-loop checkpoints, and specifying what must be logged for auditability.</w:t>
            </w:r>
          </w:p>
        </w:tc>
      </w:tr>
      <w:tr w:rsidR="00544367" w14:paraId="21FF16D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2F2"/>
          </w:tcPr>
          <w:p w14:paraId="79AB60D1" w14:textId="77777777" w:rsidR="00544367" w:rsidRDefault="00000000">
            <w:pPr>
              <w:jc w:val="center"/>
            </w:pPr>
            <w:r>
              <w:t>5</w:t>
            </w:r>
          </w:p>
        </w:tc>
        <w:tc>
          <w:tcPr>
            <w:tcW w:w="600" w:type="pct"/>
            <w:shd w:val="clear" w:color="auto" w:fill="F2F2F2"/>
          </w:tcPr>
          <w:p w14:paraId="3EAE222B" w14:textId="77777777" w:rsidR="00544367" w:rsidRDefault="00000000">
            <w:r>
              <w:rPr>
                <w:b/>
                <w:bCs/>
              </w:rPr>
              <w:t>Build</w:t>
            </w:r>
          </w:p>
        </w:tc>
        <w:tc>
          <w:tcPr>
            <w:tcW w:w="1650" w:type="pct"/>
            <w:shd w:val="clear" w:color="auto" w:fill="F2F2F2"/>
          </w:tcPr>
          <w:p w14:paraId="3961A95B" w14:textId="77777777" w:rsidR="00544367" w:rsidRDefault="00000000">
            <w:r>
              <w:t>Develop the model, retrieval layer, policy grounding, and explainable decision workflow.</w:t>
            </w:r>
          </w:p>
        </w:tc>
        <w:tc>
          <w:tcPr>
            <w:tcW w:w="2500" w:type="pct"/>
            <w:shd w:val="clear" w:color="auto" w:fill="F2F2F2"/>
          </w:tcPr>
          <w:p w14:paraId="72AAEAD0" w14:textId="77777777" w:rsidR="00544367" w:rsidRDefault="00000000">
            <w:r>
              <w:t>Policy grounding ensures the model's guidance stays tied to current lending policy documents rather than drifting into ungrounded generation, reducing hallucination risk in a regulated context.</w:t>
            </w:r>
          </w:p>
        </w:tc>
      </w:tr>
      <w:tr w:rsidR="00544367" w14:paraId="17D2217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21BF186" w14:textId="77777777" w:rsidR="00544367" w:rsidRDefault="00000000">
            <w:pPr>
              <w:jc w:val="center"/>
            </w:pPr>
            <w:r>
              <w:t>6</w:t>
            </w:r>
          </w:p>
        </w:tc>
        <w:tc>
          <w:tcPr>
            <w:tcW w:w="600" w:type="pct"/>
            <w:shd w:val="clear" w:color="auto" w:fill="FFFFFF"/>
          </w:tcPr>
          <w:p w14:paraId="150D7D18" w14:textId="77777777" w:rsidR="00544367" w:rsidRDefault="00000000">
            <w:r>
              <w:rPr>
                <w:b/>
                <w:bCs/>
              </w:rPr>
              <w:t>Validate</w:t>
            </w:r>
          </w:p>
        </w:tc>
        <w:tc>
          <w:tcPr>
            <w:tcW w:w="1650" w:type="pct"/>
            <w:shd w:val="clear" w:color="auto" w:fill="FFFFFF"/>
          </w:tcPr>
          <w:p w14:paraId="4184CC46" w14:textId="77777777" w:rsidR="00544367" w:rsidRDefault="00000000">
            <w:r>
              <w:t>Independent testing for accuracy, privacy, bias, and compliance before go-live.</w:t>
            </w:r>
          </w:p>
        </w:tc>
        <w:tc>
          <w:tcPr>
            <w:tcW w:w="2500" w:type="pct"/>
            <w:shd w:val="clear" w:color="auto" w:fill="FFFFFF"/>
          </w:tcPr>
          <w:p w14:paraId="1E9D6902" w14:textId="77777777" w:rsidR="00544367" w:rsidRDefault="00000000">
            <w:r>
              <w:t>Validation should be performed by a team independent of the build team, with documented sign-off, and should include adversarial and edge-case testing (e.g., thin-file applicants, protected-class fairness checks).</w:t>
            </w:r>
          </w:p>
        </w:tc>
      </w:tr>
      <w:tr w:rsidR="00544367" w14:paraId="05E2CEA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2F2"/>
          </w:tcPr>
          <w:p w14:paraId="735A5407" w14:textId="77777777" w:rsidR="00544367" w:rsidRDefault="00000000">
            <w:pPr>
              <w:jc w:val="center"/>
            </w:pPr>
            <w:r>
              <w:t>7</w:t>
            </w:r>
          </w:p>
        </w:tc>
        <w:tc>
          <w:tcPr>
            <w:tcW w:w="600" w:type="pct"/>
            <w:shd w:val="clear" w:color="auto" w:fill="F2F2F2"/>
          </w:tcPr>
          <w:p w14:paraId="6B56782B" w14:textId="77777777" w:rsidR="00544367" w:rsidRDefault="00000000">
            <w:r>
              <w:rPr>
                <w:b/>
                <w:bCs/>
              </w:rPr>
              <w:t>Deploy</w:t>
            </w:r>
          </w:p>
        </w:tc>
        <w:tc>
          <w:tcPr>
            <w:tcW w:w="1650" w:type="pct"/>
            <w:shd w:val="clear" w:color="auto" w:fill="F2F2F2"/>
          </w:tcPr>
          <w:p w14:paraId="6F4CEB8D" w14:textId="77777777" w:rsidR="00544367" w:rsidRDefault="00000000">
            <w:r>
              <w:t>Controlled rollout in loan operations with monitored access and escalation paths.</w:t>
            </w:r>
          </w:p>
        </w:tc>
        <w:tc>
          <w:tcPr>
            <w:tcW w:w="2500" w:type="pct"/>
            <w:shd w:val="clear" w:color="auto" w:fill="F2F2F2"/>
          </w:tcPr>
          <w:p w14:paraId="74F569A5" w14:textId="77777777" w:rsidR="00544367" w:rsidRDefault="00000000">
            <w:r>
              <w:t>A phased rollout (e.g., shadow mode, then limited pilot branches, then full deployment) limits blast radius if unexpected issues surface, and escalation paths ensure loan officers can flag and override low-confidence outputs.</w:t>
            </w:r>
          </w:p>
        </w:tc>
      </w:tr>
      <w:tr w:rsidR="00544367" w14:paraId="4B290E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91EFCA3" w14:textId="77777777" w:rsidR="00544367" w:rsidRDefault="00000000">
            <w:pPr>
              <w:jc w:val="center"/>
            </w:pPr>
            <w:r>
              <w:t>8</w:t>
            </w:r>
          </w:p>
        </w:tc>
        <w:tc>
          <w:tcPr>
            <w:tcW w:w="600" w:type="pct"/>
            <w:shd w:val="clear" w:color="auto" w:fill="FFFFFF"/>
          </w:tcPr>
          <w:p w14:paraId="64CEF1D9" w14:textId="77777777" w:rsidR="00544367" w:rsidRDefault="00000000">
            <w:r>
              <w:rPr>
                <w:b/>
                <w:bCs/>
              </w:rPr>
              <w:t>Monitor</w:t>
            </w:r>
          </w:p>
        </w:tc>
        <w:tc>
          <w:tcPr>
            <w:tcW w:w="1650" w:type="pct"/>
            <w:shd w:val="clear" w:color="auto" w:fill="FFFFFF"/>
          </w:tcPr>
          <w:p w14:paraId="7220FC9A" w14:textId="77777777" w:rsidR="00544367" w:rsidRDefault="00000000">
            <w:r>
              <w:t>Ongoing performance, drift tracking, fairness checks, and policy updates.</w:t>
            </w:r>
          </w:p>
        </w:tc>
        <w:tc>
          <w:tcPr>
            <w:tcW w:w="2500" w:type="pct"/>
            <w:shd w:val="clear" w:color="auto" w:fill="FFFFFF"/>
          </w:tcPr>
          <w:p w14:paraId="768799ED" w14:textId="77777777" w:rsidR="00544367" w:rsidRDefault="00000000">
            <w:r>
              <w:t>Automated alerts for data or concept drift should trigger a re-validation review rather than silent degradation, and monitoring dashboards should be reviewed on a fixed cadence by risk and compliance owners.</w:t>
            </w:r>
          </w:p>
        </w:tc>
      </w:tr>
      <w:tr w:rsidR="00544367" w14:paraId="0D8CE2B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2F2"/>
          </w:tcPr>
          <w:p w14:paraId="011303DD" w14:textId="77777777" w:rsidR="00544367" w:rsidRDefault="00000000">
            <w:pPr>
              <w:jc w:val="center"/>
            </w:pPr>
            <w:r>
              <w:t>9</w:t>
            </w:r>
          </w:p>
        </w:tc>
        <w:tc>
          <w:tcPr>
            <w:tcW w:w="600" w:type="pct"/>
            <w:shd w:val="clear" w:color="auto" w:fill="F2F2F2"/>
          </w:tcPr>
          <w:p w14:paraId="5187EB62" w14:textId="77777777" w:rsidR="00544367" w:rsidRDefault="00000000">
            <w:r>
              <w:rPr>
                <w:b/>
                <w:bCs/>
              </w:rPr>
              <w:t>Retire</w:t>
            </w:r>
          </w:p>
        </w:tc>
        <w:tc>
          <w:tcPr>
            <w:tcW w:w="1650" w:type="pct"/>
            <w:shd w:val="clear" w:color="auto" w:fill="F2F2F2"/>
          </w:tcPr>
          <w:p w14:paraId="665DEDFC" w14:textId="77777777" w:rsidR="00544367" w:rsidRDefault="00000000">
            <w:r>
              <w:t>Formal decommissioning with secure data handling, archival, and closure procedures.</w:t>
            </w:r>
          </w:p>
        </w:tc>
        <w:tc>
          <w:tcPr>
            <w:tcW w:w="2500" w:type="pct"/>
            <w:shd w:val="clear" w:color="auto" w:fill="F2F2F2"/>
          </w:tcPr>
          <w:p w14:paraId="3C7FCA9E" w14:textId="77777777" w:rsidR="00544367" w:rsidRDefault="00000000">
            <w:r>
              <w:t>Retirement includes preserving audit trails and decision logs per regulatory retention requirements, securely archiving or deleting training/inference data per policy, and formally documenting lessons learned for future use cases.</w:t>
            </w:r>
          </w:p>
        </w:tc>
      </w:tr>
    </w:tbl>
    <w:p w14:paraId="70E28615" w14:textId="77777777" w:rsidR="00544367" w:rsidRDefault="00544367">
      <w:pPr>
        <w:spacing w:before="300"/>
      </w:pPr>
    </w:p>
    <w:p w14:paraId="3D3EBA48" w14:textId="77777777" w:rsidR="00544367" w:rsidRDefault="00000000">
      <w:pPr>
        <w:pStyle w:val="Heading2"/>
      </w:pPr>
      <w:r>
        <w:t>Cross-Cutting Considerations</w:t>
      </w:r>
    </w:p>
    <w:p w14:paraId="2A7D304D" w14:textId="77777777" w:rsidR="00544367" w:rsidRDefault="00000000">
      <w:pPr>
        <w:spacing w:after="100"/>
      </w:pPr>
      <w:r>
        <w:t>• Governance: A named accountable owner (e.g., a model risk officer) should track the use case across all nine stages, not just at Risk Tiering.</w:t>
      </w:r>
    </w:p>
    <w:p w14:paraId="1FB2D324" w14:textId="77777777" w:rsidR="00544367" w:rsidRDefault="00000000">
      <w:pPr>
        <w:spacing w:after="100"/>
      </w:pPr>
      <w:r>
        <w:t>• Explainability: Every automated eligibility recommendation should be traceable to specific policy clauses and input factors, so loan officers and applicants can understand the basis for a decision.</w:t>
      </w:r>
    </w:p>
    <w:p w14:paraId="2A5AC566" w14:textId="77777777" w:rsidR="00544367" w:rsidRDefault="00000000">
      <w:pPr>
        <w:spacing w:after="100"/>
      </w:pPr>
      <w:r>
        <w:t>• Regulatory alignment: Fair lending laws (e.g., ECOA, Regulation B) and model risk management guidance (e.g., SR 11-7) should be mapped explicitly onto the Design and Validate stages.</w:t>
      </w:r>
    </w:p>
    <w:p w14:paraId="7753B22B" w14:textId="77777777" w:rsidR="00544367" w:rsidRDefault="00000000">
      <w:pPr>
        <w:spacing w:after="100"/>
      </w:pPr>
      <w:r>
        <w:t>• Change management: Any change to the underlying model, policy grounding data, or risk tier after go-live should trigger a return to Validate before redeployment, rather than a direct push to Monitor.</w:t>
      </w:r>
    </w:p>
    <w:p w14:paraId="60E70CD6" w14:textId="77777777" w:rsidR="00544367" w:rsidRDefault="00000000">
      <w:pPr>
        <w:spacing w:after="200"/>
      </w:pPr>
      <w:r>
        <w:lastRenderedPageBreak/>
        <w:t>• Human oversight: Loan officers should retain override authority at every risk tier, with overrides logged and periodically reviewed to detect automation bias in either direction.</w:t>
      </w:r>
    </w:p>
    <w:p w14:paraId="1AE45944" w14:textId="77777777" w:rsidR="00544367" w:rsidRDefault="00000000">
      <w:r>
        <w:rPr>
          <w:b/>
          <w:bCs/>
          <w:i/>
          <w:iCs/>
        </w:rPr>
        <w:t xml:space="preserve">Note: </w:t>
      </w:r>
      <w:r>
        <w:rPr>
          <w:i/>
          <w:iCs/>
        </w:rPr>
        <w:t>Every arrow in this diagram is a handoff — and every stage produces an artifact a validator or auditor could review months later.</w:t>
      </w:r>
    </w:p>
    <w:sectPr w:rsidR="00544367">
      <w:headerReference w:type="even" r:id="rId7"/>
      <w:headerReference w:type="default" r:id="rId8"/>
      <w:headerReference w:type="first" r:id="rId9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7BB0" w14:textId="77777777" w:rsidR="00B36509" w:rsidRDefault="00B36509" w:rsidP="005A568C">
      <w:r>
        <w:separator/>
      </w:r>
    </w:p>
  </w:endnote>
  <w:endnote w:type="continuationSeparator" w:id="0">
    <w:p w14:paraId="08DC377F" w14:textId="77777777" w:rsidR="00B36509" w:rsidRDefault="00B36509" w:rsidP="005A5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093A7" w14:textId="77777777" w:rsidR="00B36509" w:rsidRDefault="00B36509" w:rsidP="005A568C">
      <w:r>
        <w:separator/>
      </w:r>
    </w:p>
  </w:footnote>
  <w:footnote w:type="continuationSeparator" w:id="0">
    <w:p w14:paraId="41A2912C" w14:textId="77777777" w:rsidR="00B36509" w:rsidRDefault="00B36509" w:rsidP="005A5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0CB6" w14:textId="09F6BD7C" w:rsidR="005A568C" w:rsidRDefault="005A56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D00407" wp14:editId="194A6D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162659955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1054E" w14:textId="0635333E" w:rsidR="005A568C" w:rsidRPr="005A568C" w:rsidRDefault="005A568C" w:rsidP="005A568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6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004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4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401054E" w14:textId="0635333E" w:rsidR="005A568C" w:rsidRPr="005A568C" w:rsidRDefault="005A568C" w:rsidP="005A568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6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FEA05" w14:textId="46C1A17B" w:rsidR="005A568C" w:rsidRDefault="005A56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5CD842" wp14:editId="370CECA5">
              <wp:simplePos x="4572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1920286865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619E8" w14:textId="595CCD7E" w:rsidR="005A568C" w:rsidRPr="005A568C" w:rsidRDefault="005A568C" w:rsidP="005A568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6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CD8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4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14619E8" w14:textId="595CCD7E" w:rsidR="005A568C" w:rsidRPr="005A568C" w:rsidRDefault="005A568C" w:rsidP="005A568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6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79D6" w14:textId="3504CDB7" w:rsidR="005A568C" w:rsidRDefault="005A56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54B8BB" wp14:editId="620A00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07340"/>
              <wp:effectExtent l="0" t="0" r="3175" b="16510"/>
              <wp:wrapNone/>
              <wp:docPr id="598882456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7765B" w14:textId="4E74762C" w:rsidR="005A568C" w:rsidRPr="005A568C" w:rsidRDefault="005A568C" w:rsidP="005A568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68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4B8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4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7A7765B" w14:textId="4E74762C" w:rsidR="005A568C" w:rsidRPr="005A568C" w:rsidRDefault="005A568C" w:rsidP="005A568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68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A7185"/>
    <w:multiLevelType w:val="hybridMultilevel"/>
    <w:tmpl w:val="8C6ECCE8"/>
    <w:lvl w:ilvl="0" w:tplc="9B4EA5EC">
      <w:start w:val="1"/>
      <w:numFmt w:val="bullet"/>
      <w:lvlText w:val="●"/>
      <w:lvlJc w:val="left"/>
      <w:pPr>
        <w:ind w:left="720" w:hanging="360"/>
      </w:pPr>
    </w:lvl>
    <w:lvl w:ilvl="1" w:tplc="EE2A8644">
      <w:start w:val="1"/>
      <w:numFmt w:val="bullet"/>
      <w:lvlText w:val="○"/>
      <w:lvlJc w:val="left"/>
      <w:pPr>
        <w:ind w:left="1440" w:hanging="360"/>
      </w:pPr>
    </w:lvl>
    <w:lvl w:ilvl="2" w:tplc="46FEF3E0">
      <w:start w:val="1"/>
      <w:numFmt w:val="bullet"/>
      <w:lvlText w:val="■"/>
      <w:lvlJc w:val="left"/>
      <w:pPr>
        <w:ind w:left="2160" w:hanging="360"/>
      </w:pPr>
    </w:lvl>
    <w:lvl w:ilvl="3" w:tplc="65F61B26">
      <w:start w:val="1"/>
      <w:numFmt w:val="bullet"/>
      <w:lvlText w:val="●"/>
      <w:lvlJc w:val="left"/>
      <w:pPr>
        <w:ind w:left="2880" w:hanging="360"/>
      </w:pPr>
    </w:lvl>
    <w:lvl w:ilvl="4" w:tplc="DAC8A4DC">
      <w:start w:val="1"/>
      <w:numFmt w:val="bullet"/>
      <w:lvlText w:val="○"/>
      <w:lvlJc w:val="left"/>
      <w:pPr>
        <w:ind w:left="3600" w:hanging="360"/>
      </w:pPr>
    </w:lvl>
    <w:lvl w:ilvl="5" w:tplc="09C886C2">
      <w:start w:val="1"/>
      <w:numFmt w:val="bullet"/>
      <w:lvlText w:val="■"/>
      <w:lvlJc w:val="left"/>
      <w:pPr>
        <w:ind w:left="4320" w:hanging="360"/>
      </w:pPr>
    </w:lvl>
    <w:lvl w:ilvl="6" w:tplc="50369EFE">
      <w:start w:val="1"/>
      <w:numFmt w:val="bullet"/>
      <w:lvlText w:val="●"/>
      <w:lvlJc w:val="left"/>
      <w:pPr>
        <w:ind w:left="5040" w:hanging="360"/>
      </w:pPr>
    </w:lvl>
    <w:lvl w:ilvl="7" w:tplc="E9C24708">
      <w:start w:val="1"/>
      <w:numFmt w:val="bullet"/>
      <w:lvlText w:val="●"/>
      <w:lvlJc w:val="left"/>
      <w:pPr>
        <w:ind w:left="5760" w:hanging="360"/>
      </w:pPr>
    </w:lvl>
    <w:lvl w:ilvl="8" w:tplc="9078E276">
      <w:start w:val="1"/>
      <w:numFmt w:val="bullet"/>
      <w:lvlText w:val="●"/>
      <w:lvlJc w:val="left"/>
      <w:pPr>
        <w:ind w:left="6480" w:hanging="360"/>
      </w:pPr>
    </w:lvl>
  </w:abstractNum>
  <w:num w:numId="1" w16cid:durableId="1950312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67"/>
    <w:rsid w:val="00544367"/>
    <w:rsid w:val="005A568C"/>
    <w:rsid w:val="00B36509"/>
    <w:rsid w:val="00DA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3A40"/>
  <w15:docId w15:val="{16A5DE52-B2E6-4520-BC65-4E5B44B3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56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3573</Characters>
  <Application>Microsoft Office Word</Application>
  <DocSecurity>0</DocSecurity>
  <Lines>29</Lines>
  <Paragraphs>8</Paragraphs>
  <ScaleCrop>false</ScaleCrop>
  <Company>CGI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Menon, Deepti</cp:lastModifiedBy>
  <cp:revision>2</cp:revision>
  <dcterms:created xsi:type="dcterms:W3CDTF">2026-09-02T06:16:00Z</dcterms:created>
  <dcterms:modified xsi:type="dcterms:W3CDTF">2026-09-02T06:17:00Z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23b23898,9b1fe73,72754091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