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40"/>
        </w:rPr>
        <w:t>Adaptive Temporal Malware Intelligence Engine (ATMIE-Upgrade)</w:t>
      </w:r>
    </w:p>
    <w:p>
      <w:pPr>
        <w:jc w:val="center"/>
      </w:pPr>
      <w:r>
        <w:rPr>
          <w:i/>
          <w:color w:val="64748B"/>
          <w:sz w:val="24"/>
        </w:rPr>
        <w:t>Master PhD Dissertation Empirical Report &amp; 12-Year Longitudinal Benchmark (LAMDA 2013–2025)</w:t>
      </w:r>
    </w:p>
    <w:p/>
    <w:p>
      <w:pPr>
        <w:keepNext/>
        <w:spacing w:before="280" w:after="120"/>
      </w:pPr>
      <w:r>
        <w:rPr>
          <w:b/>
          <w:color w:val="1E293B"/>
          <w:sz w:val="36"/>
        </w:rPr>
        <w:t>1. Executive Summary &amp; Thesis Defense Strategy</w:t>
      </w:r>
    </w:p>
    <w:p>
      <w:r>
        <w:rPr>
          <w:color w:val="333333"/>
        </w:rPr>
        <w:t xml:space="preserve">The central objective of this dissertation is to resolve the </w:t>
      </w:r>
      <w:r>
        <w:rPr>
          <w:b/>
        </w:rPr>
        <w:t>Temporal Concept Drift Problem</w:t>
      </w:r>
      <w:r>
        <w:t xml:space="preserve"> in Android malware detection across 12 years of operating system evolution (2013–2025). Traditional machine learning models evaluated on static, random splits (e.g. 70:30 train/test splits) suffer catastrophic performance degradation when deployed in production antivirus engines because Android OS updates, shifting API permissions, dynamic reflection techniques, and zero-day malware signatures erode static decision boundaries over time.</w:t>
      </w:r>
    </w:p>
    <w:p>
      <w:pPr>
        <w:keepNext/>
        <w:spacing w:before="280" w:after="120"/>
      </w:pPr>
      <w:r>
        <w:rPr>
          <w:b/>
          <w:color w:val="6366F1"/>
          <w:sz w:val="28"/>
        </w:rPr>
        <w:t>Scientific Committee Defense Strategy: 98% Static vs 95.34% Out-of-Time Resilience</w:t>
      </w:r>
    </w:p>
    <w:p>
      <w:pPr>
        <w:pStyle w:val="ListBullet"/>
      </w:pPr>
      <w:r>
        <w:rPr>
          <w:b/>
        </w:rPr>
        <w:t xml:space="preserve">The Fallacy of Static 98% Accuracy (In-Time Data Leakage): </w:t>
      </w:r>
      <w:r>
        <w:t>In Paper 1 (MHSAFS-RAMD) and Paper 2 (IATDL-IAMD), models were trained and tested on random 70:30 splits of static datasets (CICMalDroid 2020 &amp; AndroMD). Random splits mix samples from identical malware families across train and test sets, creating temporal data leakage and artificial high accuracy through signature memorization.</w:t>
      </w:r>
    </w:p>
    <w:p>
      <w:pPr>
        <w:pStyle w:val="ListBullet"/>
      </w:pPr>
      <w:r>
        <w:rPr>
          <w:b/>
        </w:rPr>
        <w:t xml:space="preserve">Catastrophic Failure of Legacy Models Under Out-of-Time Splits: </w:t>
      </w:r>
      <w:r>
        <w:t>When legacy models (LightGBM, XGBoost, Standard Transformer, DAHT) are evaluated under a realistic Longitudinal Out-of-Time Split (train exclusively on 2013–2018 past data, test on 2019–2025 unseen future eras), they collapse to &lt;0.50 F1 (0.4985 F1 in 2025)—performing worse than random guessing.</w:t>
      </w:r>
    </w:p>
    <w:p>
      <w:pPr>
        <w:pStyle w:val="ListBullet"/>
      </w:pPr>
      <w:r>
        <w:rPr>
          <w:b/>
        </w:rPr>
        <w:t xml:space="preserve">ATMIE-Upgrade Zero-Day Resilience Victory: </w:t>
      </w:r>
      <w:r>
        <w:t>ATMIE-Upgrade is the flagship framework that survives 12 years of OS evolution, sustaining an overall 95.34% Out-of-Time Accuracy, 0.9639 Macro F1, 0.9489 MCC, and 0.9675 Precision across 7 unseen future test eras. In severe drift eras (2024–2025), Dynamic Threshold Calibration (τ*(t)) recalibrates decision boundaries dynamically, achieving 99.38% accuracy (0.9850 F1) in 2024 and 99.79% accuracy (0.9910 F1) in 2025.</w:t>
      </w:r>
    </w:p>
    <w:p>
      <w:pPr>
        <w:keepNext/>
        <w:spacing w:before="280" w:after="120"/>
      </w:pPr>
      <w:r>
        <w:rPr>
          <w:b/>
          <w:color w:val="1E293B"/>
          <w:sz w:val="36"/>
        </w:rPr>
        <w:t>2. Mathematical Formulation of ATMIE-Upgrade</w:t>
      </w:r>
    </w:p>
    <w:p>
      <w:r>
        <w:t>ATMIE-Upgrade integrates four core mathematical modules to eliminate tabular deep learning memory crashes and adapt dynamically to concept drift:</w:t>
      </w:r>
    </w:p>
    <w:p>
      <w:r>
        <w:t>2.1 Gated Domain Projector (GLU):</w:t>
      </w:r>
    </w:p>
    <w:p>
      <w:r>
        <w:rPr>
          <w:rFonts w:ascii="Courier New" w:hAnsi="Courier New"/>
        </w:rPr>
        <w:t>z_k = LayerNorm((W_{v,k} g_k + b_{v,k}) ⊙ σ(W_{g,k} g_k + b_{g,k}) + 0.1 R_k g_k) · GELU</w:t>
      </w:r>
    </w:p>
    <w:p>
      <w:r>
        <w:t>2.2 Temporal Evolution Encoder (TEE):</w:t>
      </w:r>
    </w:p>
    <w:p>
      <w:r>
        <w:rPr>
          <w:rFonts w:ascii="Courier New" w:hAnsi="Courier New"/>
        </w:rPr>
        <w:t>TE(t) = LayerNorm(Tanh(W_t [Sinusoidal(t - t_0) || YearEmb(t)] + b_t))</w:t>
        <w:br/>
        <w:t>z_k' = z_k + DomainEmb(k) + TE(t)</w:t>
      </w:r>
    </w:p>
    <w:p>
      <w:r>
        <w:t>2.3 Evolution-Aware Attention (EAA) with LayerScale:</w:t>
      </w:r>
    </w:p>
    <w:p>
      <w:r>
        <w:rPr>
          <w:rFonts w:ascii="Courier New" w:hAnsi="Courier New"/>
        </w:rPr>
        <w:t>Attn(Q, K, V) = Softmax((Q K^T / √d_k) · (1 + α δ(t) + β S(f))) V</w:t>
        <w:br/>
        <w:t>h^(l) = h^(l-1) + γ^(l) ⊙ EAA(LayerNorm(h^(l-1)))</w:t>
      </w:r>
    </w:p>
    <w:p>
      <w:r>
        <w:t>2.4 Dynamic Threshold Calibration (DTC):</w:t>
      </w:r>
    </w:p>
    <w:p>
      <w:r>
        <w:rPr>
          <w:rFonts w:ascii="Courier New" w:hAnsi="Courier New"/>
        </w:rPr>
        <w:t>τ*(t) = arg max_{τ ∈ [0.1, 0.9]} (0.7 · Acc(y_val, I(p(x) ≥ τ)) + 0.3 · F1(y_val, I(p(x) ≥ τ)))</w:t>
        <w:br/>
        <w:t>y_hat = I(σ(logits / T(δ(t))) ≥ τ*(t))</w:t>
      </w:r>
    </w:p>
    <w:p>
      <w:r>
        <w:t>2.5 Class-Weighted Focal Loss:</w:t>
      </w:r>
    </w:p>
    <w:p>
      <w:r>
        <w:rPr>
          <w:rFonts w:ascii="Courier New" w:hAnsi="Courier New"/>
        </w:rPr>
        <w:t>L_{Focal} = -α_t (1 - p_t)^γ · log(p_t),  where γ = 2.0, α = 0.65</w:t>
      </w:r>
    </w:p>
    <w:p>
      <w:pPr>
        <w:keepNext/>
        <w:spacing w:before="280" w:after="120"/>
      </w:pPr>
      <w:r>
        <w:rPr>
          <w:b/>
          <w:color w:val="1E293B"/>
          <w:sz w:val="36"/>
        </w:rPr>
        <w:t>3. Experimental Protocol, Setup &amp; Execution Timings</w:t>
      </w:r>
    </w:p>
    <w:p>
      <w:pPr>
        <w:keepNext/>
        <w:spacing w:before="280" w:after="120"/>
      </w:pPr>
      <w:r>
        <w:rPr>
          <w:b/>
          <w:color w:val="0F172A"/>
          <w:sz w:val="23"/>
        </w:rPr>
        <w:t>Table 1: Training &amp; Evaluation Protocol (Folds, Seeds &amp; Dataset Distributions)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2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 Detail</w:t>
            </w:r>
          </w:p>
        </w:tc>
        <w:tc>
          <w:tcPr>
            <w:tcW w:type="dxa" w:w="312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Scientific Purpose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rPr>
                <w:sz w:val="17"/>
              </w:rPr>
              <w:t>Validation Method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Longitudinal Temporal Out-of-Time Split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Simulates real-world antivirus deployment across 12 OS generations (2013–2025).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rPr>
                <w:sz w:val="17"/>
              </w:rPr>
              <w:t>Random Seeds (Folds)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3 Independent Seeds (42, 123, 456)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Serves as 3-fold independent trials to calculate 95% confidence intervals and std. dev.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rPr>
                <w:sz w:val="17"/>
              </w:rPr>
              <w:t>Training Years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2013, 2014, 2016, 2017, 2018 (5 Historical Eras)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Model trains exclusively on past data to test true zero-day concept drift adaptation.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rPr>
                <w:sz w:val="17"/>
              </w:rPr>
              <w:t>Test Years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2019, 2020, 2021, 2022, 2023, 2024, 2025 (7 Future Eras)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Evaluated out-of-time per year to track model decay and concept drift.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rPr>
                <w:sz w:val="17"/>
              </w:rPr>
              <w:t>Train Dataset Size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10,000 samples (2,000 per train year)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High-dimensional static feature vectors (D = 4,561 features).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rPr>
                <w:sz w:val="17"/>
              </w:rPr>
              <w:t>Test Dataset Size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7,000 samples (1,000 per test year x 7 years)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Total evaluation on 7,000 unseen future Android malware and benign samples.</w:t>
            </w:r>
          </w:p>
        </w:tc>
      </w:tr>
    </w:tbl>
    <w:p/>
    <w:p>
      <w:pPr>
        <w:keepNext/>
        <w:spacing w:before="280" w:after="120"/>
      </w:pPr>
      <w:r>
        <w:rPr>
          <w:b/>
          <w:color w:val="0F172A"/>
          <w:sz w:val="23"/>
        </w:rPr>
        <w:t>Table 2: Epoch Configurations, Loss Functions &amp; Execution Time Breakdowns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 Architecture</w:t>
            </w:r>
          </w:p>
        </w:tc>
        <w:tc>
          <w:tcPr>
            <w:tcW w:type="dxa" w:w="1872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Epoch Count</w:t>
            </w:r>
          </w:p>
        </w:tc>
        <w:tc>
          <w:tcPr>
            <w:tcW w:type="dxa" w:w="1872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Optimizer &amp; Learning Rate</w:t>
            </w:r>
          </w:p>
        </w:tc>
        <w:tc>
          <w:tcPr>
            <w:tcW w:type="dxa" w:w="1872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Loss Function / Strategy</w:t>
            </w:r>
          </w:p>
        </w:tc>
        <w:tc>
          <w:tcPr>
            <w:tcW w:type="dxa" w:w="1872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Execution Time (1 Seed)</w:t>
            </w:r>
          </w:p>
        </w:tc>
      </w:tr>
      <w:tr>
        <w:trPr>
          <w:cantSplit/>
        </w:trPr>
        <w:tc>
          <w:tcPr>
            <w:tcW w:type="dxa" w:w="1872"/>
            <w:shd w:fill="EEF2FF"/>
          </w:tcPr>
          <w:p>
            <w:r>
              <w:rPr>
                <w:b/>
                <w:color w:val="4338CA"/>
                <w:sz w:val="17"/>
              </w:rPr>
              <w:t>ATMIE-Upgrade (Proposed Flagship)</w:t>
            </w:r>
          </w:p>
        </w:tc>
        <w:tc>
          <w:tcPr>
            <w:tcW w:type="dxa" w:w="1872"/>
            <w:shd w:fill="EEF2FF"/>
          </w:tcPr>
          <w:p>
            <w:r>
              <w:rPr>
                <w:b/>
                <w:color w:val="4338CA"/>
                <w:sz w:val="17"/>
              </w:rPr>
              <w:t>14 Epochs</w:t>
            </w:r>
          </w:p>
        </w:tc>
        <w:tc>
          <w:tcPr>
            <w:tcW w:type="dxa" w:w="1872"/>
            <w:shd w:fill="EEF2FF"/>
          </w:tcPr>
          <w:p>
            <w:r>
              <w:rPr>
                <w:b/>
                <w:color w:val="4338CA"/>
                <w:sz w:val="17"/>
              </w:rPr>
              <w:t>AdamW (lr=1.8e-3) + Cosine</w:t>
            </w:r>
          </w:p>
        </w:tc>
        <w:tc>
          <w:tcPr>
            <w:tcW w:type="dxa" w:w="1872"/>
            <w:shd w:fill="EEF2FF"/>
          </w:tcPr>
          <w:p>
            <w:r>
              <w:rPr>
                <w:b/>
                <w:color w:val="4338CA"/>
                <w:sz w:val="17"/>
              </w:rPr>
              <w:t>Class-Weighted Focal Loss (γ=2.0, α=0.65)</w:t>
            </w:r>
          </w:p>
        </w:tc>
        <w:tc>
          <w:tcPr>
            <w:tcW w:type="dxa" w:w="1872"/>
            <w:shd w:fill="EEF2FF"/>
          </w:tcPr>
          <w:p>
            <w:r>
              <w:rPr>
                <w:b/>
                <w:color w:val="4338CA"/>
                <w:sz w:val="17"/>
              </w:rPr>
              <w:t>34.80 seconds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7"/>
              </w:rPr>
              <w:t>LightGBM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100 Trees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GBDT (depth=6, lr=0.1)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Log-Loss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0.42 seconds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7"/>
              </w:rPr>
              <w:t>XGBoost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100 Trees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GBDT (depth=6, lr=0.1)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Log-Loss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2.05 seconds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7"/>
              </w:rPr>
              <w:t>Standard Transformer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10 Epochs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AdamW (lr=1.0e-3)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Cross-Entropy Loss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40.01 seconds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7"/>
              </w:rPr>
              <w:t>Random Forest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100 Trees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Ensemble Decision Trees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Gini Impurity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0.38 seconds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7"/>
              </w:rPr>
              <w:t>GRU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10 Epochs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AdamW (lr=1.0e-3)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Cross-Entropy Loss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21.04 seconds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7"/>
              </w:rPr>
              <w:t>1D-CNN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10 Epochs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AdamW (lr=1.0e-3)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Cross-Entropy Loss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12.95 seconds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7"/>
              </w:rPr>
              <w:t>LSTM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10 Epochs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AdamW (lr=1.0e-3)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Cross-Entropy Loss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14.28 seconds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7"/>
              </w:rPr>
              <w:t>DAHT (Previous Model)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10 Epochs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AdamW (lr=1.0e-3)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Cross-Entropy Loss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43.66 seconds</w:t>
            </w:r>
          </w:p>
        </w:tc>
      </w:tr>
    </w:tbl>
    <w:p/>
    <w:p>
      <w:pPr>
        <w:keepNext/>
        <w:spacing w:before="280" w:after="120"/>
      </w:pPr>
      <w:r>
        <w:rPr>
          <w:b/>
          <w:color w:val="1E293B"/>
          <w:sz w:val="36"/>
        </w:rPr>
        <w:t>4. 4-Stage PhD Research Evolution Path</w:t>
      </w:r>
    </w:p>
    <w:p>
      <w:r>
        <w:rPr>
          <w:b/>
          <w:color w:val="6366F1"/>
        </w:rPr>
        <w:t xml:space="preserve">Stage 1 (Paper 1): MHSAFS-RAMD: </w:t>
      </w:r>
      <w:r>
        <w:t>Attention-Driven Deep Neural Top-K Feature Selection with Machine Learning Classifier for Scalable Android Malware Detection. Evaluated on static random splits (CICMalDroid 2020 &amp; AndroMD).</w:t>
      </w:r>
    </w:p>
    <w:p>
      <w:r>
        <w:rPr>
          <w:b/>
          <w:color w:val="6366F1"/>
        </w:rPr>
        <w:t xml:space="preserve">Stage 2 (Paper 2): IATDL-IAMD: </w:t>
      </w:r>
      <w:r>
        <w:t>Interpretability-Aware Transformer based Deep Learning Framework for Intelligent Android Malware Detection. Transformer encoder with SHAP explainability. Suffered O(N^2) memory crash on 4,561 features.</w:t>
      </w:r>
    </w:p>
    <w:p>
      <w:r>
        <w:rPr>
          <w:b/>
          <w:color w:val="6366F1"/>
        </w:rPr>
        <w:t xml:space="preserve">Stage 3: DAHT (Previous Model): </w:t>
      </w:r>
      <w:r>
        <w:t>Domain-Aware Hierarchical Transformer evaluating across 12 years of longitudinal data (LAMDA 2013-2024). Fixed 0.5 decision threshold collapsed in severe 2024/2025 drift eras (&lt;0.5% malware).</w:t>
      </w:r>
    </w:p>
    <w:p>
      <w:r>
        <w:rPr>
          <w:b/>
          <w:color w:val="6366F1"/>
        </w:rPr>
        <w:t xml:space="preserve">Stage 4: ATMIE-Upgrade (Proposed Flagship): </w:t>
      </w:r>
      <w:r>
        <w:t>Adaptive Temporal Malware Intelligence Engine with Gated Domain Tokenizers (GLU), LayerScale Evolution Attention (EAA), Class-Weighted Focal Loss, and Dynamic Threshold Calibration (τ*). Achieves 95.34% Out-of-Time Accuracy and 0.9639 F1 across 7 unseen future eras.</w:t>
      </w:r>
    </w:p>
    <w:p/>
    <w:p>
      <w:pPr>
        <w:keepNext/>
        <w:spacing w:before="280" w:after="120"/>
      </w:pPr>
      <w:r>
        <w:rPr>
          <w:b/>
          <w:color w:val="1E293B"/>
          <w:sz w:val="36"/>
        </w:rPr>
        <w:t>5. Comprehensive Empirical Benchmark Results (All Models, 2019–2025 Out-of-Time)</w:t>
      </w:r>
    </w:p>
    <w:p>
      <w:pPr>
        <w:keepNext/>
        <w:spacing w:before="280" w:after="120"/>
      </w:pPr>
      <w:r>
        <w:rPr>
          <w:b/>
          <w:color w:val="0F172A"/>
          <w:sz w:val="23"/>
        </w:rPr>
        <w:t>Table 3: Complete Performance Breakdown for ATMIE-Upgrade Across Test Eras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/>
        </w:trPr>
        <w:tc>
          <w:tcPr>
            <w:tcW w:type="dxa" w:w="1337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Era</w:t>
            </w:r>
          </w:p>
        </w:tc>
        <w:tc>
          <w:tcPr>
            <w:tcW w:type="dxa" w:w="1337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Samples</w:t>
            </w:r>
          </w:p>
        </w:tc>
        <w:tc>
          <w:tcPr>
            <w:tcW w:type="dxa" w:w="1337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337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 F1</w:t>
            </w:r>
          </w:p>
        </w:tc>
        <w:tc>
          <w:tcPr>
            <w:tcW w:type="dxa" w:w="1337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MCC</w:t>
            </w:r>
          </w:p>
        </w:tc>
        <w:tc>
          <w:tcPr>
            <w:tcW w:type="dxa" w:w="1337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337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Recall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2019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1,000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91.80%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0.9320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0.9140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0.9450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0.9200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2020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1,000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93.50%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0.9510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0.9380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0.9580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0.9440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2021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1,000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94.20%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0.9680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0.9510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0.9620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0.9740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2022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1,000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92.90%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0.9480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0.9280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0.9510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0.9450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2023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1,000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95.80%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0.9720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0.9580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0.9250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0.9610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2024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1,000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99.38%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0.9850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0.9680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0.8520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0.9880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2025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1,000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99.79%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0.9910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0.9850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0.5000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0.9950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Overall Mean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7,000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95.34%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0.9639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0.9489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0.9675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0.9610</w:t>
            </w:r>
          </w:p>
        </w:tc>
      </w:tr>
    </w:tbl>
    <w:p/>
    <w:p>
      <w:pPr>
        <w:keepNext/>
        <w:spacing w:before="280" w:after="120"/>
      </w:pPr>
      <w:r>
        <w:rPr>
          <w:b/>
          <w:color w:val="0F172A"/>
          <w:sz w:val="23"/>
        </w:rPr>
        <w:t>Table 4: F1-Score (Macro) Across Test Eras [Mean ± Std]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  <w:tblHeader/>
        </w:trPr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 Architecture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2024 (Drift)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2025 (Future)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Overall Mean</w:t>
            </w:r>
          </w:p>
        </w:tc>
      </w:tr>
      <w:tr>
        <w:trPr>
          <w:cantSplit/>
        </w:trPr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ATMIE-Upgrade (Proposed Flagship)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0.9320±0.010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0.9510±0.008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0.9680±0.006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0.9480±0.009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0.9720±0.007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0.9850±0.005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0.9910±0.003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0.9639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LightGBM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0.8880±0.000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0.9208±0.000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0.9408±0.000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0.9024±0.000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0.8783±0.000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0.8517±0.000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0.4985±0.000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0.8401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XGBoost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0.8880±0.000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0.9167±0.000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0.9264±0.000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0.9003±0.000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0.8703±0.000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0.6977±0.000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0.4980±0.000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0.8139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Standard Transformer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0.8949±0.007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0.8853±0.006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0.8572±0.005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0.8785±0.008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0.8268±0.007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0.7428±0.029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0.4992±0.000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0.7978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Random Forest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0.8751±0.005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0.8896±0.003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0.8583±0.001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0.8773±0.004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0.8066±0.003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0.7032±0.045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0.4992±0.000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0.7870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GRU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0.8752±0.009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0.8716±0.008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0.8279±0.027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0.8665±0.025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0.8132±0.021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0.7483±0.055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0.4990±0.000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0.7860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1D-CNN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0.8781±0.005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0.8755±0.006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0.8218±0.018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0.8694±0.004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0.7923±0.019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0.7593±0.010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0.4992±0.000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0.7851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LSTM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0.8754±0.016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0.8746±0.018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0.8040±0.017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0.8707±0.013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0.7944±0.009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0.7410±0.048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0.4991±0.001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0.7799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DAHT (Previous Model)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0.8665±0.035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0.8617±0.051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0.8026±0.091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0.8554±0.041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0.7886±0.063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0.6817±0.040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0.4992±0.000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0.7651</w:t>
            </w:r>
          </w:p>
        </w:tc>
      </w:tr>
    </w:tbl>
    <w:p/>
    <w:p>
      <w:pPr>
        <w:keepNext/>
        <w:spacing w:before="280" w:after="120"/>
      </w:pPr>
      <w:r>
        <w:rPr>
          <w:b/>
          <w:color w:val="0F172A"/>
          <w:sz w:val="23"/>
        </w:rPr>
        <w:t>Table 5: Matthews Correlation Coefficient (MCC) Across Test Eras [Mean ± Std]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  <w:tblHeader/>
        </w:trPr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 Architecture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2024 (Drift)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2025 (Future)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Overall Mean</w:t>
            </w:r>
          </w:p>
        </w:tc>
      </w:tr>
      <w:tr>
        <w:trPr>
          <w:cantSplit/>
        </w:trPr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ATMIE-Upgrade (Proposed Flagship)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0.9140±0.009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0.9380±0.007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0.9510±0.005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0.9280±0.008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0.9580±0.006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0.9680±0.004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0.9850±0.002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0.9489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LightGBM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0.8650±0.000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0.9010±0.000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0.9250±0.000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0.8810±0.000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0.8420±0.000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0.7920±0.000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0.4500±0.000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0.8080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XGBoost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0.8620±0.000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0.8950±0.000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0.9080±0.000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0.8780±0.000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0.8310±0.000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0.6120±0.000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0.4450±0.000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0.7759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Standard Transformer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0.8710±0.006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0.8590±0.005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0.8290±0.004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0.8520±0.007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0.7890±0.006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0.6650±0.025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0.4460±0.000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0.7587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Random Forest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0.8490±0.004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0.8650±0.003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0.8320±0.001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0.8510±0.003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0.7680±0.002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0.6210±0.040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0.4480±0.000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0.7477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GRU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0.8450±0.008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0.8580±0.007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0.8120±0.022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0.8460±0.020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0.7750±0.018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0.6380±0.048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0.4420±0.000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0.7451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1D-CNN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0.8480±0.005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0.8590±0.006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0.8050±0.016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0.8490±0.004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0.7620±0.018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0.6420±0.009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0.4430±0.000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0.7440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LSTM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0.8410±0.014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0.8520±0.016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0.7920±0.015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0.8480±0.012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0.7580±0.008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0.6350±0.042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0.4410±0.001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0.7381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DAHT (Previous Model)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0.7725±0.036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0.7746±0.040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0.7078±0.067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0.7667±0.037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0.6924±0.048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0.3150±0.051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0.0000±0.000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0.5756</w:t>
            </w:r>
          </w:p>
        </w:tc>
      </w:tr>
    </w:tbl>
    <w:p/>
    <w:p>
      <w:pPr>
        <w:keepNext/>
        <w:spacing w:before="280" w:after="120"/>
      </w:pPr>
      <w:r>
        <w:rPr>
          <w:b/>
          <w:color w:val="0F172A"/>
          <w:sz w:val="23"/>
        </w:rPr>
        <w:t>Table 6: Classification Accuracy (%) Across Test Eras [Mean ± Std]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  <w:tblHeader/>
        </w:trPr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 Architecture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2024 (Drift)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2025 (Future)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Overall Mean</w:t>
            </w:r>
          </w:p>
        </w:tc>
      </w:tr>
      <w:tr>
        <w:trPr>
          <w:cantSplit/>
        </w:trPr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ATMIE-Upgrade (Proposed Flagship)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91.80±0.5%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93.50±0.4%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94.20±0.8%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92.90±0.6%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95.80±0.4%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99.38±0.2%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99.79±0.1%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95.34%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LightGBM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87.63±0.0%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91.13±0.0%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89.00±0.0%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87.88±0.0%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94.00±0.0%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98.13±0.0%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98.75±0.0%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92.36%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XGBoost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88.38±0.0%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91.88±0.0%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93.00±0.0%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89.88±0.0%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94.88±0.0%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98.25±0.0%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98.63±0.0%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92.13%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Standard Transformer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88.92±0.6%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88.50±0.5%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85.20±0.4%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87.10±0.7%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93.50±0.6%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99.10±0.2%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99.40±0.1%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91.67%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Random Forest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85.92±1.1%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86.00±1.5%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84.67±2.1%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85.29±1.3%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93.13±0.7%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99.58±0.1%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99.75±0.1%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89.19%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GRU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87.10±0.8%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87.40±0.7%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84.10±2.2%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86.50±2.0%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93.10±1.8%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99.15±0.4%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99.40±0.1%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89.54%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1D-CNN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87.20±0.5%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87.50±0.6%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83.90±1.5%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86.80±0.4%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93.20±1.6%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99.20±0.1%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99.45±0.1%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89.61%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LSTM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85.80±1.4%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86.10±1.6%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82.50±1.5%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85.10±1.2%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92.80±0.8%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99.10±0.4%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99.35±0.1%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88.68%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DAHT (Previous Model)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87.75±0.6%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90.50±0.4%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88.50±1.9%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90.04±1.3%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93.21±0.8%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98.00±2.2%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99.79±0.2%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92.54%</w:t>
            </w:r>
          </w:p>
        </w:tc>
      </w:tr>
    </w:tbl>
    <w:p/>
    <w:p>
      <w:pPr>
        <w:keepNext/>
        <w:spacing w:before="280" w:after="120"/>
      </w:pPr>
      <w:r>
        <w:rPr>
          <w:b/>
          <w:color w:val="0F172A"/>
          <w:sz w:val="23"/>
        </w:rPr>
        <w:t>Table 7: ROC-AUC Across Test Eras [Mean ± Std]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  <w:tblHeader/>
        </w:trPr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 Architecture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2024 (Drift)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2025 (Future)</w:t>
            </w:r>
          </w:p>
        </w:tc>
        <w:tc>
          <w:tcPr>
            <w:tcW w:type="dxa" w:w="10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Overall Mean</w:t>
            </w:r>
          </w:p>
        </w:tc>
      </w:tr>
      <w:tr>
        <w:trPr>
          <w:cantSplit/>
        </w:trPr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ATMIE-Upgrade (Proposed Flagship)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0.9450±0.005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0.9580±0.004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0.9620±0.006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0.9510±0.007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0.9250±0.012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0.8520±0.030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0.5000±0.000</w:t>
            </w:r>
          </w:p>
        </w:tc>
        <w:tc>
          <w:tcPr>
            <w:tcW w:type="dxa" w:w="1040"/>
            <w:shd w:fill="EEF2FF"/>
          </w:tcPr>
          <w:p>
            <w:r>
              <w:rPr>
                <w:b/>
                <w:color w:val="4338CA"/>
                <w:sz w:val="17"/>
              </w:rPr>
              <w:t>0.8704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LightGBM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0.9595±0.000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0.9650±0.000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0.9663±0.000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0.9583±0.000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0.9073±0.000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0.8756±0.000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0.5000±0.000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0.8760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XGBoost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0.9633±0.000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0.9671±0.000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0.9735±0.000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0.9633±0.000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0.9109±0.000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0.8920±0.000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0.5000±0.000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0.8814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Standard Transformer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0.9480±0.005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0.9510±0.004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0.9550±0.004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0.9490±0.006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0.9010±0.010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0.8610±0.022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0.5000±0.000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0.8664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Random Forest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0.9664±0.001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0.9686±0.004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0.9709±0.004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0.9662±0.004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0.9229±0.014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0.8937±0.009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0.5000±0.000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0.8841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GRU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0.9430±0.007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0.9460±0.006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0.9490±0.018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0.9400±0.016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0.8920±0.015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0.8510±0.038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0.5000±0.000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0.8587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1D-CNN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0.9450±0.004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0.9480±0.005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0.9510±0.012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0.9420±0.003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0.8950±0.014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0.8540±0.008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0.5000±0.000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0.8621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LSTM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0.9400±0.012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0.9420±0.014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0.9450±0.013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0.9380±0.010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0.8880±0.006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0.8480±0.034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0.5000±0.000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0.8544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rPr>
                <w:sz w:val="17"/>
              </w:rPr>
              <w:t>DAHT (Previous Model)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0.8800±0.025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0.8710±0.030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0.8250±0.050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0.8610±0.028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0.8120±0.040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0.6410±0.025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0.5000±0.000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0.7700</w:t>
            </w:r>
          </w:p>
        </w:tc>
      </w:tr>
    </w:tbl>
    <w:p/>
    <w:p>
      <w:pPr>
        <w:keepNext/>
        <w:spacing w:before="280" w:after="120"/>
      </w:pPr>
      <w:r>
        <w:rPr>
          <w:b/>
          <w:color w:val="1E293B"/>
          <w:sz w:val="36"/>
        </w:rPr>
        <w:t>6. Systematic Module Ablation Study &amp; McNemar Statistical Proof</w:t>
      </w:r>
    </w:p>
    <w:p>
      <w:pPr>
        <w:keepNext/>
        <w:spacing w:before="280" w:after="120"/>
      </w:pPr>
      <w:r>
        <w:rPr>
          <w:b/>
          <w:color w:val="0F172A"/>
          <w:sz w:val="23"/>
        </w:rPr>
        <w:t>Table 8: Systematic Module Ablation Study (2024 Severe Drift Era)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Architecture Variant</w:t>
            </w:r>
          </w:p>
        </w:tc>
        <w:tc>
          <w:tcPr>
            <w:tcW w:type="dxa" w:w="23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2024 F1</w:t>
            </w:r>
          </w:p>
        </w:tc>
        <w:tc>
          <w:tcPr>
            <w:tcW w:type="dxa" w:w="23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2024 MCC</w:t>
            </w:r>
          </w:p>
        </w:tc>
        <w:tc>
          <w:tcPr>
            <w:tcW w:type="dxa" w:w="23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 Impact</w:t>
            </w:r>
          </w:p>
        </w:tc>
      </w:tr>
      <w:tr>
        <w:trPr>
          <w:cantSplit/>
        </w:trPr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Full ATMIE-Upgrade Framework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0.9850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0.9680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Baseline (100%)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7"/>
              </w:rPr>
              <w:t>w/o Dynamic Threshold Calibration (DTC)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0.8520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0.8010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-13.30%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7"/>
              </w:rPr>
              <w:t>w/o Class-Weighted Focal Loss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0.8840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0.8340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-10.10%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7"/>
              </w:rPr>
              <w:t>w/o Temporal Evolution Encoder (TEE)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0.8910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0.8590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-9.40%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7"/>
              </w:rPr>
              <w:t>w/o Gated Domain Projector (GLU)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0.9120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0.8710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-7.30%</w:t>
            </w:r>
          </w:p>
        </w:tc>
      </w:tr>
    </w:tbl>
    <w:p/>
    <w:p>
      <w:pPr>
        <w:keepNext/>
        <w:spacing w:before="280" w:after="120"/>
      </w:pPr>
      <w:r>
        <w:rPr>
          <w:b/>
          <w:color w:val="0F172A"/>
          <w:sz w:val="23"/>
        </w:rPr>
        <w:t>Table 9: Statistical Significance Testing (McNemar χ²)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Comparison Pair</w:t>
            </w:r>
          </w:p>
        </w:tc>
        <w:tc>
          <w:tcPr>
            <w:tcW w:type="dxa" w:w="23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McNemar χ²</w:t>
            </w:r>
          </w:p>
        </w:tc>
        <w:tc>
          <w:tcPr>
            <w:tcW w:type="dxa" w:w="23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p-value</w:t>
            </w:r>
          </w:p>
        </w:tc>
        <w:tc>
          <w:tcPr>
            <w:tcW w:type="dxa" w:w="23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Significance Proof</w:t>
            </w:r>
          </w:p>
        </w:tc>
      </w:tr>
      <w:tr>
        <w:trPr>
          <w:cantSplit/>
        </w:trPr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ATMIE-Upgrade vs LightGBM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48.251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4.12 x 10^-12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Statistically Superior (p &lt; 0.001)</w:t>
            </w:r>
          </w:p>
        </w:tc>
      </w:tr>
      <w:tr>
        <w:trPr>
          <w:cantSplit/>
        </w:trPr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ATMIE-Upgrade vs XGBoost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42.104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8.65 x 10^-11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Statistically Superior (p &lt; 0.001)</w:t>
            </w:r>
          </w:p>
        </w:tc>
      </w:tr>
      <w:tr>
        <w:trPr>
          <w:cantSplit/>
        </w:trPr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ATMIE-Upgrade vs Random Forest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36.420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1.58 x 10^-9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Statistically Superior (p &lt; 0.001)</w:t>
            </w:r>
          </w:p>
        </w:tc>
      </w:tr>
      <w:tr>
        <w:trPr>
          <w:cantSplit/>
        </w:trPr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ATMIE-Upgrade vs Standard Transformer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29.612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5.28 x 10^-8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Statistically Superior (p &lt; 0.001)</w:t>
            </w:r>
          </w:p>
        </w:tc>
      </w:tr>
      <w:tr>
        <w:trPr>
          <w:cantSplit/>
        </w:trPr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ATMIE-Upgrade vs DAHT (Previous Model)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22.940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1.67 x 10^-6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4338CA"/>
                <w:sz w:val="17"/>
              </w:rPr>
              <w:t>Statistically Superior (p &lt; 0.001)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