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F2A" w:rsidRDefault="00A55F2A">
      <w:pPr>
        <w:pStyle w:val="normal0"/>
        <w:rPr>
          <w:rFonts w:ascii="Avenir" w:eastAsia="Avenir" w:hAnsi="Avenir" w:cs="Avenir"/>
        </w:rPr>
      </w:pPr>
    </w:p>
    <w:p w:rsidR="00A55F2A" w:rsidRDefault="000470BF">
      <w:pPr>
        <w:pStyle w:val="Title"/>
      </w:pPr>
      <w:bookmarkStart w:id="0" w:name="_v0mnscapxiv3" w:colFirst="0" w:colLast="0"/>
      <w:bookmarkEnd w:id="0"/>
      <w:r>
        <w:t xml:space="preserve">Case report back end </w:t>
      </w:r>
    </w:p>
    <w:p w:rsidR="00A55F2A" w:rsidRDefault="00A55F2A">
      <w:pPr>
        <w:pStyle w:val="normal0"/>
      </w:pPr>
    </w:p>
    <w:p w:rsidR="00A55F2A" w:rsidRDefault="000470BF">
      <w:pPr>
        <w:pStyle w:val="normal0"/>
        <w:rPr>
          <w:rFonts w:ascii="Avenir" w:eastAsia="Avenir" w:hAnsi="Avenir" w:cs="Avenir"/>
          <w:b/>
          <w:u w:val="single"/>
        </w:rPr>
      </w:pPr>
      <w:r>
        <w:rPr>
          <w:rFonts w:ascii="Avenir" w:eastAsia="Avenir" w:hAnsi="Avenir" w:cs="Avenir"/>
          <w:b/>
          <w:u w:val="single"/>
        </w:rPr>
        <w:t>Layout of the list</w:t>
      </w:r>
    </w:p>
    <w:p w:rsidR="00A55F2A" w:rsidRDefault="00A55F2A">
      <w:pPr>
        <w:pStyle w:val="normal0"/>
        <w:rPr>
          <w:rFonts w:ascii="Avenir" w:eastAsia="Avenir" w:hAnsi="Avenir" w:cs="Avenir"/>
        </w:rPr>
      </w:pPr>
    </w:p>
    <w:p w:rsidR="00A55F2A" w:rsidRDefault="00A55F2A">
      <w:pPr>
        <w:pStyle w:val="normal0"/>
        <w:rPr>
          <w:rFonts w:ascii="Avenir" w:eastAsia="Avenir" w:hAnsi="Avenir" w:cs="Avenir"/>
        </w:rPr>
      </w:pPr>
    </w:p>
    <w:p w:rsidR="00A55F2A" w:rsidRDefault="00A55F2A">
      <w:pPr>
        <w:pStyle w:val="normal0"/>
        <w:rPr>
          <w:rFonts w:ascii="Avenir" w:eastAsia="Avenir" w:hAnsi="Avenir" w:cs="Avenir"/>
        </w:rPr>
      </w:pPr>
    </w:p>
    <w:tbl>
      <w:tblPr>
        <w:tblStyle w:val="a"/>
        <w:tblW w:w="15150" w:type="dxa"/>
        <w:tblInd w:w="-10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75"/>
        <w:gridCol w:w="2151"/>
        <w:gridCol w:w="1337"/>
        <w:gridCol w:w="1367"/>
        <w:gridCol w:w="1105"/>
        <w:gridCol w:w="983"/>
        <w:gridCol w:w="1291"/>
        <w:gridCol w:w="1215"/>
        <w:gridCol w:w="1429"/>
        <w:gridCol w:w="1983"/>
        <w:gridCol w:w="1414"/>
      </w:tblGrid>
      <w:tr w:rsidR="00A55F2A" w:rsidTr="004C4B2E">
        <w:trPr>
          <w:cantSplit/>
          <w:trHeight w:val="550"/>
          <w:tblHeader/>
        </w:trPr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 w:rsidRPr="008A6A26">
              <w:rPr>
                <w:rFonts w:ascii="Avenir" w:eastAsia="Avenir" w:hAnsi="Avenir" w:cs="Avenir"/>
                <w:highlight w:val="yellow"/>
              </w:rPr>
              <w:t>Date</w:t>
            </w: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Advocate’s name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 w:rsidRPr="008A6A26">
              <w:rPr>
                <w:rFonts w:ascii="Avenir" w:eastAsia="Avenir" w:hAnsi="Avenir" w:cs="Avenir"/>
                <w:highlight w:val="yellow"/>
              </w:rPr>
              <w:t>Client’s name</w:t>
            </w:r>
            <w:r>
              <w:rPr>
                <w:rFonts w:ascii="Avenir" w:eastAsia="Avenir" w:hAnsi="Avenir" w:cs="Avenir"/>
              </w:rPr>
              <w:t xml:space="preserve"> </w:t>
            </w: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spacing w:line="240" w:lineRule="auto"/>
              <w:rPr>
                <w:rFonts w:ascii="Avenir" w:eastAsia="Avenir" w:hAnsi="Avenir" w:cs="Avenir"/>
              </w:rPr>
            </w:pPr>
            <w:r w:rsidRPr="008A6A26">
              <w:rPr>
                <w:rFonts w:ascii="Avenir" w:eastAsia="Avenir" w:hAnsi="Avenir" w:cs="Avenir"/>
                <w:highlight w:val="yellow"/>
              </w:rPr>
              <w:t>Client’s number</w:t>
            </w:r>
            <w:r>
              <w:rPr>
                <w:rFonts w:ascii="Avenir" w:eastAsia="Avenir" w:hAnsi="Avenir" w:cs="Avenir"/>
              </w:rPr>
              <w:t xml:space="preserve"> </w:t>
            </w: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 w:rsidRPr="008A6A26">
              <w:rPr>
                <w:rFonts w:ascii="Avenir" w:eastAsia="Avenir" w:hAnsi="Avenir" w:cs="Avenir"/>
                <w:highlight w:val="yellow"/>
              </w:rPr>
              <w:t>Client’s country</w:t>
            </w:r>
          </w:p>
        </w:tc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 w:rsidRPr="008A6A26">
              <w:rPr>
                <w:rFonts w:ascii="Avenir" w:eastAsia="Avenir" w:hAnsi="Avenir" w:cs="Avenir"/>
                <w:highlight w:val="yellow"/>
              </w:rPr>
              <w:t>Case ID</w:t>
            </w:r>
            <w:r>
              <w:rPr>
                <w:rFonts w:ascii="Avenir" w:eastAsia="Avenir" w:hAnsi="Avenir" w:cs="Avenir"/>
              </w:rPr>
              <w:t xml:space="preserve"> </w:t>
            </w: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Service list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In person support 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proofErr w:type="spellStart"/>
            <w:r>
              <w:rPr>
                <w:rFonts w:ascii="Avenir" w:eastAsia="Avenir" w:hAnsi="Avenir" w:cs="Avenir"/>
              </w:rPr>
              <w:t>On going</w:t>
            </w:r>
            <w:proofErr w:type="spellEnd"/>
            <w:r>
              <w:rPr>
                <w:rFonts w:ascii="Avenir" w:eastAsia="Avenir" w:hAnsi="Avenir" w:cs="Avenir"/>
              </w:rPr>
              <w:t xml:space="preserve"> casework support 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Case status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Casework at sight</w:t>
            </w:r>
          </w:p>
        </w:tc>
      </w:tr>
      <w:tr w:rsidR="00A55F2A" w:rsidTr="004C4B2E">
        <w:trPr>
          <w:cantSplit/>
          <w:trHeight w:val="1091"/>
          <w:tblHeader/>
        </w:trPr>
        <w:tc>
          <w:tcPr>
            <w:tcW w:w="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A55F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21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A55F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A55F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13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A55F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1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A55F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A55F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</w:p>
        </w:tc>
        <w:tc>
          <w:tcPr>
            <w:tcW w:w="1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Drop down menu. Y/N</w:t>
            </w:r>
          </w:p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  <w:color w:val="FF0000"/>
              </w:rPr>
            </w:pPr>
            <w:r>
              <w:rPr>
                <w:rFonts w:ascii="Avenir" w:eastAsia="Avenir" w:hAnsi="Avenir" w:cs="Avenir"/>
                <w:color w:val="FF0000"/>
              </w:rPr>
              <w:t xml:space="preserve">Section 2, question 9 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Drop down menu. Y/N</w:t>
            </w:r>
          </w:p>
          <w:p w:rsidR="00A55F2A" w:rsidRDefault="000470BF">
            <w:pPr>
              <w:pStyle w:val="normal0"/>
              <w:widowControl w:val="0"/>
              <w:spacing w:line="240" w:lineRule="auto"/>
              <w:rPr>
                <w:rFonts w:ascii="Avenir" w:eastAsia="Avenir" w:hAnsi="Avenir" w:cs="Avenir"/>
                <w:color w:val="FF0000"/>
              </w:rPr>
            </w:pPr>
            <w:r>
              <w:rPr>
                <w:rFonts w:ascii="Avenir" w:eastAsia="Avenir" w:hAnsi="Avenir" w:cs="Avenir"/>
                <w:color w:val="FF0000"/>
              </w:rPr>
              <w:t xml:space="preserve">Appendix A, question 1 </w:t>
            </w:r>
          </w:p>
        </w:tc>
        <w:tc>
          <w:tcPr>
            <w:tcW w:w="14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Drop down menu. Y/N</w:t>
            </w:r>
          </w:p>
          <w:p w:rsidR="00A55F2A" w:rsidRDefault="00A55F2A">
            <w:pPr>
              <w:pStyle w:val="normal0"/>
              <w:widowControl w:val="0"/>
              <w:spacing w:line="240" w:lineRule="auto"/>
              <w:rPr>
                <w:rFonts w:ascii="Avenir" w:eastAsia="Avenir" w:hAnsi="Avenir" w:cs="Avenir"/>
              </w:rPr>
            </w:pPr>
          </w:p>
          <w:p w:rsidR="00A55F2A" w:rsidRDefault="000470BF">
            <w:pPr>
              <w:pStyle w:val="normal0"/>
              <w:widowControl w:val="0"/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  <w:color w:val="FF0000"/>
              </w:rPr>
              <w:t>Appendix A, question 2</w:t>
            </w:r>
          </w:p>
        </w:tc>
        <w:tc>
          <w:tcPr>
            <w:tcW w:w="19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Drop down:</w:t>
            </w:r>
          </w:p>
          <w:p w:rsidR="00A55F2A" w:rsidRDefault="000470BF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Transferred </w:t>
            </w:r>
          </w:p>
          <w:p w:rsidR="00A55F2A" w:rsidRDefault="000470BF">
            <w:pPr>
              <w:pStyle w:val="normal0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Closed </w:t>
            </w:r>
          </w:p>
        </w:tc>
        <w:tc>
          <w:tcPr>
            <w:tcW w:w="1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F2A" w:rsidRDefault="000470B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Short answer </w:t>
            </w:r>
          </w:p>
        </w:tc>
      </w:tr>
    </w:tbl>
    <w:p w:rsidR="00A55F2A" w:rsidRDefault="00A55F2A">
      <w:pPr>
        <w:pStyle w:val="normal0"/>
        <w:rPr>
          <w:rFonts w:ascii="Avenir" w:eastAsia="Avenir" w:hAnsi="Avenir" w:cs="Avenir"/>
        </w:rPr>
      </w:pPr>
    </w:p>
    <w:p w:rsidR="00A55F2A" w:rsidRDefault="00A55F2A">
      <w:pPr>
        <w:pStyle w:val="normal0"/>
        <w:rPr>
          <w:rFonts w:ascii="Avenir" w:eastAsia="Avenir" w:hAnsi="Avenir" w:cs="Avenir"/>
        </w:rPr>
      </w:pPr>
    </w:p>
    <w:p w:rsidR="00A55F2A" w:rsidRDefault="000470BF">
      <w:pPr>
        <w:pStyle w:val="normal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User should be able to access the full case report if she clicks on the entry on that row. </w:t>
      </w:r>
    </w:p>
    <w:p w:rsidR="00A55F2A" w:rsidRDefault="00A55F2A">
      <w:pPr>
        <w:pStyle w:val="normal0"/>
        <w:rPr>
          <w:rFonts w:ascii="Avenir" w:eastAsia="Avenir" w:hAnsi="Avenir" w:cs="Avenir"/>
        </w:rPr>
      </w:pPr>
    </w:p>
    <w:p w:rsidR="00A55F2A" w:rsidRDefault="00A55F2A">
      <w:pPr>
        <w:pStyle w:val="normal0"/>
        <w:rPr>
          <w:rFonts w:ascii="Avenir" w:eastAsia="Avenir" w:hAnsi="Avenir" w:cs="Avenir"/>
          <w:b/>
          <w:u w:val="single"/>
        </w:rPr>
      </w:pPr>
    </w:p>
    <w:p w:rsidR="00A55F2A" w:rsidRDefault="000470BF">
      <w:pPr>
        <w:pStyle w:val="normal0"/>
        <w:rPr>
          <w:rFonts w:ascii="Avenir" w:eastAsia="Avenir" w:hAnsi="Avenir" w:cs="Avenir"/>
          <w:b/>
          <w:u w:val="single"/>
        </w:rPr>
      </w:pPr>
      <w:r>
        <w:rPr>
          <w:rFonts w:ascii="Avenir" w:eastAsia="Avenir" w:hAnsi="Avenir" w:cs="Avenir"/>
          <w:b/>
          <w:u w:val="single"/>
        </w:rPr>
        <w:t xml:space="preserve">Inside the case report </w:t>
      </w:r>
    </w:p>
    <w:p w:rsidR="00A55F2A" w:rsidRDefault="00A55F2A">
      <w:pPr>
        <w:pStyle w:val="normal0"/>
        <w:rPr>
          <w:rFonts w:ascii="Avenir" w:eastAsia="Avenir" w:hAnsi="Avenir" w:cs="Avenir"/>
          <w:b/>
          <w:u w:val="single"/>
        </w:rPr>
      </w:pPr>
    </w:p>
    <w:p w:rsidR="00A55F2A" w:rsidRDefault="000470BF">
      <w:pPr>
        <w:pStyle w:val="normal0"/>
        <w:numPr>
          <w:ilvl w:val="0"/>
          <w:numId w:val="2"/>
        </w:numPr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The case status and the casework at sight should be editable and viewed on the top right corner </w:t>
      </w:r>
    </w:p>
    <w:p w:rsidR="00A55F2A" w:rsidRDefault="00A55F2A">
      <w:pPr>
        <w:pStyle w:val="normal0"/>
        <w:ind w:left="720"/>
        <w:rPr>
          <w:rFonts w:ascii="Avenir" w:eastAsia="Avenir" w:hAnsi="Avenir" w:cs="Avenir"/>
        </w:rPr>
      </w:pPr>
    </w:p>
    <w:sectPr w:rsidR="00A55F2A" w:rsidSect="00A55F2A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D1143"/>
    <w:multiLevelType w:val="multilevel"/>
    <w:tmpl w:val="38EAB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E0E569B"/>
    <w:multiLevelType w:val="multilevel"/>
    <w:tmpl w:val="9D344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5F2A"/>
    <w:rsid w:val="000470BF"/>
    <w:rsid w:val="000877A8"/>
    <w:rsid w:val="004C4B2E"/>
    <w:rsid w:val="008A6A26"/>
    <w:rsid w:val="00A55F2A"/>
    <w:rsid w:val="00DE3B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55F2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55F2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55F2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55F2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55F2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55F2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55F2A"/>
  </w:style>
  <w:style w:type="paragraph" w:styleId="Title">
    <w:name w:val="Title"/>
    <w:basedOn w:val="normal0"/>
    <w:next w:val="normal0"/>
    <w:rsid w:val="00A55F2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55F2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55F2A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2023-05-15T04:46:00Z</dcterms:created>
  <dcterms:modified xsi:type="dcterms:W3CDTF">2023-05-15T06:35:00Z</dcterms:modified>
</cp:coreProperties>
</file>