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SPECIFICATION &amp; KNOWLEDGE BASE DOCUMENT: MULTIPLE EDGE TRADING SYSTEM (M.E.T.S.)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Source Author:</w:t>
      </w:r>
      <w:r w:rsidDel="00000000" w:rsidR="00000000" w:rsidRPr="00000000">
        <w:rPr>
          <w:rFonts w:ascii="Arial" w:cs="Arial" w:eastAsia="Arial" w:hAnsi="Arial"/>
          <w:color w:val="1f1f1f"/>
          <w:rtl w:val="0"/>
        </w:rPr>
        <w:t xml:space="preserve"> J Law (2024 US Investing Championship Million-Dollar True-Margin Stock Group Champion)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Document Purpose:</w:t>
      </w:r>
      <w:r w:rsidDel="00000000" w:rsidR="00000000" w:rsidRPr="00000000">
        <w:rPr>
          <w:rFonts w:ascii="Arial" w:cs="Arial" w:eastAsia="Arial" w:hAnsi="Arial"/>
          <w:color w:val="1f1f1f"/>
          <w:rtl w:val="0"/>
        </w:rPr>
        <w:t xml:space="preserve"> Optimized Reference Manual for Vector Database Indexing / Retrieval-Augmented Generation (RAG) and Algorithmic Trading Bot System Design.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CORE ARCHITECTURAL PHILOSOPHY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Multiple Edge Trading System (M.E.T.S.) rejects single-indicator execution. The system relies entirely on a positive mathematical expectancy model, where profitability is driven by an asymmetric Risk-to-Reward (R:R) ratio (minimum 4:1 to 5:1) combined with strict capital preservation. Trading execution is strictly gated by the identification of a </w:t>
      </w:r>
      <w:r w:rsidDel="00000000" w:rsidR="00000000" w:rsidRPr="00000000">
        <w:rPr>
          <w:rFonts w:ascii="Arial" w:cs="Arial" w:eastAsia="Arial" w:hAnsi="Arial"/>
          <w:b w:val="1"/>
          <w:bCs w:val="1"/>
          <w:color w:val="1f1f1f"/>
          <w:rtl w:val="0"/>
        </w:rPr>
        <w:t xml:space="preserve">M.E.T.A. (Multiple Edge Trading Area)</w:t>
      </w:r>
      <w:r w:rsidDel="00000000" w:rsidR="00000000" w:rsidRPr="00000000">
        <w:rPr>
          <w:rFonts w:ascii="Arial" w:cs="Arial" w:eastAsia="Arial" w:hAnsi="Arial"/>
          <w:color w:val="1f1f1f"/>
          <w:rtl w:val="0"/>
        </w:rPr>
        <w:t xml:space="preserve">—a precise price zone where multiple independent technical and fundamental edges converge.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CONFIGURATION &amp; INDICATOR PARAMETERS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Moving Average (MA) Matrix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Moving averages are interpreted as dynamic, elastic support/resistance zones rather than rigid price points. They are fully functional across multiple timeframes (Daily, Weekly, Intra-day), but configurations below reflect the core Daily Chart setup:</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10MA &amp; 20MA:</w:t>
      </w:r>
      <w:r w:rsidDel="00000000" w:rsidR="00000000" w:rsidRPr="00000000">
        <w:rPr>
          <w:rFonts w:ascii="Arial" w:cs="Arial" w:eastAsia="Arial" w:hAnsi="Arial"/>
          <w:color w:val="1f1f1f"/>
          <w:rtl w:val="0"/>
        </w:rPr>
        <w:t xml:space="preserve"> Used to measure short-term momentum, define immediate trailing stops, and identify shallow pullbacks in high-velocity trend phases.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50MA:</w:t>
      </w:r>
      <w:r w:rsidDel="00000000" w:rsidR="00000000" w:rsidRPr="00000000">
        <w:rPr>
          <w:rFonts w:ascii="Arial" w:cs="Arial" w:eastAsia="Arial" w:hAnsi="Arial"/>
          <w:color w:val="1f1f1f"/>
          <w:rtl w:val="0"/>
        </w:rPr>
        <w:t xml:space="preserve"> Used to identify intermediate-term structural support/resistance and define institutional trend health.</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200MA:</w:t>
      </w:r>
      <w:r w:rsidDel="00000000" w:rsidR="00000000" w:rsidRPr="00000000">
        <w:rPr>
          <w:rFonts w:ascii="Arial" w:cs="Arial" w:eastAsia="Arial" w:hAnsi="Arial"/>
          <w:color w:val="1f1f1f"/>
          <w:rtl w:val="0"/>
        </w:rPr>
        <w:t xml:space="preserve"> The primary structural filter for the long-term trend. Long positions are structurally favored when the price trades above a rising 200MA.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63MA (Quarterly Line):</w:t>
      </w:r>
      <w:r w:rsidDel="00000000" w:rsidR="00000000" w:rsidRPr="00000000">
        <w:rPr>
          <w:rFonts w:ascii="Arial" w:cs="Arial" w:eastAsia="Arial" w:hAnsi="Arial"/>
          <w:color w:val="1f1f1f"/>
          <w:rtl w:val="0"/>
        </w:rPr>
        <w:t xml:space="preserve"> Applied on daily charts to represent one fiscal quarter of trading data (252 annual trading days divided by 4). Used when standard MAs do not intersect a visually significant structural level.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150MA:</w:t>
      </w:r>
      <w:r w:rsidDel="00000000" w:rsidR="00000000" w:rsidRPr="00000000">
        <w:rPr>
          <w:rFonts w:ascii="Arial" w:cs="Arial" w:eastAsia="Arial" w:hAnsi="Arial"/>
          <w:color w:val="1f1f1f"/>
          <w:rtl w:val="0"/>
        </w:rPr>
        <w:t xml:space="preserve"> Equivalent to the 30-week moving average on a weekly chart. Used for intermediate structural macro-tracking.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250MA (Annual Line):</w:t>
      </w:r>
      <w:r w:rsidDel="00000000" w:rsidR="00000000" w:rsidRPr="00000000">
        <w:rPr>
          <w:rFonts w:ascii="Arial" w:cs="Arial" w:eastAsia="Arial" w:hAnsi="Arial"/>
          <w:color w:val="1f1f1f"/>
          <w:rtl w:val="0"/>
        </w:rPr>
        <w:t xml:space="preserve"> Equivalent to the 50-week moving average on a weekly chart. Acts as a macro terminal line of defense for structural bull trends.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EMA/SMA Zone Protocol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mathematically establish a visual "support/resistance channel" and eliminate single-line noise, the system plots the </w:t>
      </w:r>
      <w:r w:rsidDel="00000000" w:rsidR="00000000" w:rsidRPr="00000000">
        <w:rPr>
          <w:rFonts w:ascii="Arial" w:cs="Arial" w:eastAsia="Arial" w:hAnsi="Arial"/>
          <w:b w:val="1"/>
          <w:bCs w:val="1"/>
          <w:color w:val="1f1f1f"/>
          <w:rtl w:val="0"/>
        </w:rPr>
        <w:t xml:space="preserve">Simple Moving Average (SMA)</w:t>
      </w:r>
      <w:r w:rsidDel="00000000" w:rsidR="00000000" w:rsidRPr="00000000">
        <w:rPr>
          <w:rFonts w:ascii="Arial" w:cs="Arial" w:eastAsia="Arial" w:hAnsi="Arial"/>
          <w:color w:val="1f1f1f"/>
          <w:rtl w:val="0"/>
        </w:rPr>
        <w:t xml:space="preserve"> and the </w:t>
      </w:r>
      <w:r w:rsidDel="00000000" w:rsidR="00000000" w:rsidRPr="00000000">
        <w:rPr>
          <w:rFonts w:ascii="Arial" w:cs="Arial" w:eastAsia="Arial" w:hAnsi="Arial"/>
          <w:b w:val="1"/>
          <w:bCs w:val="1"/>
          <w:color w:val="1f1f1f"/>
          <w:rtl w:val="0"/>
        </w:rPr>
        <w:t xml:space="preserve">Exponential Moving Average (EMA)</w:t>
      </w:r>
      <w:r w:rsidDel="00000000" w:rsidR="00000000" w:rsidRPr="00000000">
        <w:rPr>
          <w:rFonts w:ascii="Arial" w:cs="Arial" w:eastAsia="Arial" w:hAnsi="Arial"/>
          <w:color w:val="1f1f1f"/>
          <w:rtl w:val="0"/>
        </w:rPr>
        <w:t xml:space="preserve"> simultaneously for identical periods (specifically the 20-period matrix).</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EMA Behavior:</w:t>
      </w:r>
      <w:r w:rsidDel="00000000" w:rsidR="00000000" w:rsidRPr="00000000">
        <w:rPr>
          <w:rFonts w:ascii="Arial" w:cs="Arial" w:eastAsia="Arial" w:hAnsi="Arial"/>
          <w:color w:val="1f1f1f"/>
          <w:rtl w:val="0"/>
        </w:rPr>
        <w:t xml:space="preserve"> Reacts faster to recent price data; maps velocity during explosive breakouts or severe breakdowns.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SMA Behavior:</w:t>
      </w:r>
      <w:r w:rsidDel="00000000" w:rsidR="00000000" w:rsidRPr="00000000">
        <w:rPr>
          <w:rFonts w:ascii="Arial" w:cs="Arial" w:eastAsia="Arial" w:hAnsi="Arial"/>
          <w:color w:val="1f1f1f"/>
          <w:rtl w:val="0"/>
        </w:rPr>
        <w:t xml:space="preserve"> Provides smooth, unweighted structural baselines.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Zone:</w:t>
      </w:r>
      <w:r w:rsidDel="00000000" w:rsidR="00000000" w:rsidRPr="00000000">
        <w:rPr>
          <w:rFonts w:ascii="Arial" w:cs="Arial" w:eastAsia="Arial" w:hAnsi="Arial"/>
          <w:color w:val="1f1f1f"/>
          <w:rtl w:val="0"/>
        </w:rPr>
        <w:t xml:space="preserve"> The physical space between the 20EMA and 20SMA forms a dynamic boundary layer. Price interaction within this specific channel is treated as a valid test of structural equilibrium.</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MARKET REGIME CLASSIFICATION FILTER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any strategy execution, the algorithm must run a market regime filter to match execution style with current broad index conditions: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Strong Uptrend (Index above rising short/intermediate MAs):</w:t>
      </w:r>
      <w:r w:rsidDel="00000000" w:rsidR="00000000" w:rsidRPr="00000000">
        <w:rPr>
          <w:rFonts w:ascii="Arial" w:cs="Arial" w:eastAsia="Arial" w:hAnsi="Arial"/>
          <w:color w:val="1f1f1f"/>
          <w:rtl w:val="0"/>
        </w:rPr>
        <w:t xml:space="preserve"> Execute </w:t>
      </w:r>
      <w:r w:rsidDel="00000000" w:rsidR="00000000" w:rsidRPr="00000000">
        <w:rPr>
          <w:rFonts w:ascii="Arial" w:cs="Arial" w:eastAsia="Arial" w:hAnsi="Arial"/>
          <w:b w:val="1"/>
          <w:bCs w:val="1"/>
          <w:color w:val="1f1f1f"/>
          <w:rtl w:val="0"/>
        </w:rPr>
        <w:t xml:space="preserve">Position Trading</w:t>
      </w:r>
      <w:r w:rsidDel="00000000" w:rsidR="00000000" w:rsidRPr="00000000">
        <w:rPr>
          <w:rFonts w:ascii="Arial" w:cs="Arial" w:eastAsia="Arial" w:hAnsi="Arial"/>
          <w:color w:val="1f1f1f"/>
          <w:rtl w:val="0"/>
        </w:rPr>
        <w:t xml:space="preserve">. Favor buying strong leadership stocks, using aggressive scaling, and trailing positions via a "Sell into Weakness" script to maximize multi-bagger gains.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Whipsaw / Choppy Market (Index moving sideways, crossing MAs back and forth):</w:t>
      </w:r>
      <w:r w:rsidDel="00000000" w:rsidR="00000000" w:rsidRPr="00000000">
        <w:rPr>
          <w:rFonts w:ascii="Arial" w:cs="Arial" w:eastAsia="Arial" w:hAnsi="Arial"/>
          <w:color w:val="1f1f1f"/>
          <w:rtl w:val="0"/>
        </w:rPr>
        <w:t xml:space="preserve"> Transition to short-term </w:t>
      </w:r>
      <w:r w:rsidDel="00000000" w:rsidR="00000000" w:rsidRPr="00000000">
        <w:rPr>
          <w:rFonts w:ascii="Arial" w:cs="Arial" w:eastAsia="Arial" w:hAnsi="Arial"/>
          <w:b w:val="1"/>
          <w:bCs w:val="1"/>
          <w:color w:val="1f1f1f"/>
          <w:rtl w:val="0"/>
        </w:rPr>
        <w:t xml:space="preserve">Swing Trading</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Day Trading</w:t>
      </w:r>
      <w:r w:rsidDel="00000000" w:rsidR="00000000" w:rsidRPr="00000000">
        <w:rPr>
          <w:rFonts w:ascii="Arial" w:cs="Arial" w:eastAsia="Arial" w:hAnsi="Arial"/>
          <w:color w:val="1f1f1f"/>
          <w:rtl w:val="0"/>
        </w:rPr>
        <w:t xml:space="preserve">. Take quick profits at defined targets; do not attempt to trail for macro extensions.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Bear Market / Severe Correction (Index below 200MA or breaking down sharply):</w:t>
      </w:r>
      <w:r w:rsidDel="00000000" w:rsidR="00000000" w:rsidRPr="00000000">
        <w:rPr>
          <w:rFonts w:ascii="Arial" w:cs="Arial" w:eastAsia="Arial" w:hAnsi="Arial"/>
          <w:color w:val="1f1f1f"/>
          <w:rtl w:val="0"/>
        </w:rPr>
        <w:t xml:space="preserve"> Move primarily to Cash. Use the downturn as a "magic mirror" to identify relative strength leaders (stocks that refuse to fall or break key structures). Execute strict, market-neutral short hedges exclusively on structurally weak stocks.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THE LONG ENTRY SYSTEM: M.E.T.A. SPECIFICATIONS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long entry trigger cannot fire unless a minimum of 2 to 4 independent technical edges overlap within the same price zone.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[M.E.T.A. Entry Zone] = Overlap of (Edge 1 + Edge 2 + Edge 3 + Edge 4)</w:t>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Edge Checklist Matrix</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Edge 1: Volume-Price Divergence Profile (Crucial):</w:t>
      </w:r>
      <w:r w:rsidDel="00000000" w:rsidR="00000000" w:rsidRPr="00000000">
        <w:rPr>
          <w:rFonts w:ascii="Arial" w:cs="Arial" w:eastAsia="Arial" w:hAnsi="Arial"/>
          <w:color w:val="1f1f1f"/>
          <w:rtl w:val="0"/>
        </w:rPr>
        <w:t xml:space="preserve"> The pullback into the entry zone must display a severe contraction in volume. Upward momentum days must show high volume, while downward retracement days must show volume significantly below the 50-day average volume line. Low-volume pullbacks demonstrate an absence of institutional selling.</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Edge 2: Horizontal Role Reversal (The Flip Level):</w:t>
      </w:r>
      <w:r w:rsidDel="00000000" w:rsidR="00000000" w:rsidRPr="00000000">
        <w:rPr>
          <w:rFonts w:ascii="Arial" w:cs="Arial" w:eastAsia="Arial" w:hAnsi="Arial"/>
          <w:color w:val="1f1f1f"/>
          <w:rtl w:val="0"/>
        </w:rPr>
        <w:t xml:space="preserve"> Prior major wave-high resistance levels that have been cleanly broken on high volume must flip to act as key horizontal support zones.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Edge 3: Moving Average Cluster Support:</w:t>
      </w:r>
      <w:r w:rsidDel="00000000" w:rsidR="00000000" w:rsidRPr="00000000">
        <w:rPr>
          <w:rFonts w:ascii="Arial" w:cs="Arial" w:eastAsia="Arial" w:hAnsi="Arial"/>
          <w:color w:val="1f1f1f"/>
          <w:rtl w:val="0"/>
        </w:rPr>
        <w:t xml:space="preserve"> The price must retrench directly into the 10MA, the 20EMA/SMA zone, or the 50MA line.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Edge 4: Trendline Convergence:</w:t>
      </w:r>
      <w:r w:rsidDel="00000000" w:rsidR="00000000" w:rsidRPr="00000000">
        <w:rPr>
          <w:rFonts w:ascii="Arial" w:cs="Arial" w:eastAsia="Arial" w:hAnsi="Arial"/>
          <w:color w:val="1f1f1f"/>
          <w:rtl w:val="0"/>
        </w:rPr>
        <w:t xml:space="preserve"> The entry zone must align with either a rising major Uptrend Line or a broken, descending Downtrend Line that is now acting as support from above.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Edge 5: Fundamental Catalysts:</w:t>
      </w:r>
      <w:r w:rsidDel="00000000" w:rsidR="00000000" w:rsidRPr="00000000">
        <w:rPr>
          <w:rFonts w:ascii="Arial" w:cs="Arial" w:eastAsia="Arial" w:hAnsi="Arial"/>
          <w:color w:val="1f1f1f"/>
          <w:rtl w:val="0"/>
        </w:rPr>
        <w:t xml:space="preserve"> High-velocity earnings beats, major revenue guidance revisions, or structural corporate/product monopolies (e.g., companies capable of rapid scale with high margins).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Entry Layout Logic (Multi-Layer Protection)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algorithm should map the entry space into structural layers because the first layer of a M.E.T.A. zone can experience a brief, short-term breach before a structural reversal occurs.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Layer 1 M.E.T.A.:</w:t>
      </w:r>
      <w:r w:rsidDel="00000000" w:rsidR="00000000" w:rsidRPr="00000000">
        <w:rPr>
          <w:rFonts w:ascii="Arial" w:cs="Arial" w:eastAsia="Arial" w:hAnsi="Arial"/>
          <w:color w:val="1f1f1f"/>
          <w:rtl w:val="0"/>
        </w:rPr>
        <w:t xml:space="preserve"> Initial intersection of the 10MA or 20EMA/SMA zone with a horizontal breakout level.</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Layer 2 M.E.T.A.:</w:t>
      </w:r>
      <w:r w:rsidDel="00000000" w:rsidR="00000000" w:rsidRPr="00000000">
        <w:rPr>
          <w:rFonts w:ascii="Arial" w:cs="Arial" w:eastAsia="Arial" w:hAnsi="Arial"/>
          <w:color w:val="1f1f1f"/>
          <w:rtl w:val="0"/>
        </w:rPr>
        <w:t xml:space="preserve"> Deeper pullback area aligning with a structural uptrend line or a rising 50MA.</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Stop Loss Execution Rule:</w:t>
      </w:r>
      <w:r w:rsidDel="00000000" w:rsidR="00000000" w:rsidRPr="00000000">
        <w:rPr>
          <w:rFonts w:ascii="Arial" w:cs="Arial" w:eastAsia="Arial" w:hAnsi="Arial"/>
          <w:color w:val="1f1f1f"/>
          <w:rtl w:val="0"/>
        </w:rPr>
        <w:t xml:space="preserve"> Stop losses must never be placed exactly </w:t>
      </w:r>
      <w:r w:rsidDel="00000000" w:rsidR="00000000" w:rsidRPr="00000000">
        <w:rPr>
          <w:rFonts w:ascii="Arial" w:cs="Arial" w:eastAsia="Arial" w:hAnsi="Arial"/>
          <w:i w:val="1"/>
          <w:iCs w:val="1"/>
          <w:color w:val="1f1f1f"/>
          <w:rtl w:val="0"/>
        </w:rPr>
        <w:t xml:space="preserve">on</w:t>
      </w:r>
      <w:r w:rsidDel="00000000" w:rsidR="00000000" w:rsidRPr="00000000">
        <w:rPr>
          <w:rFonts w:ascii="Arial" w:cs="Arial" w:eastAsia="Arial" w:hAnsi="Arial"/>
          <w:color w:val="1f1f1f"/>
          <w:rtl w:val="0"/>
        </w:rPr>
        <w:t xml:space="preserve"> a key moving average or horizontal support line. They must be set a defined percentage or structural distance </w:t>
      </w:r>
      <w:r w:rsidDel="00000000" w:rsidR="00000000" w:rsidRPr="00000000">
        <w:rPr>
          <w:rFonts w:ascii="Arial" w:cs="Arial" w:eastAsia="Arial" w:hAnsi="Arial"/>
          <w:i w:val="1"/>
          <w:iCs w:val="1"/>
          <w:color w:val="1f1f1f"/>
          <w:rtl w:val="0"/>
        </w:rPr>
        <w:t xml:space="preserve">below</w:t>
      </w:r>
      <w:r w:rsidDel="00000000" w:rsidR="00000000" w:rsidRPr="00000000">
        <w:rPr>
          <w:rFonts w:ascii="Arial" w:cs="Arial" w:eastAsia="Arial" w:hAnsi="Arial"/>
          <w:color w:val="1f1f1f"/>
          <w:rtl w:val="0"/>
        </w:rPr>
        <w:t xml:space="preserve"> the cluster zone to absorb normal market volatility and avoid institutional stop-hunting ("shake-outs").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Consolidation Pattern Archetype (Stage Analysis)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seeks out prolonged, tight consolidations lasting approximately 5 months following a massive Stage 2 advance.</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Validation Rules:</w:t>
      </w:r>
      <w:r w:rsidDel="00000000" w:rsidR="00000000" w:rsidRPr="00000000">
        <w:rPr>
          <w:rFonts w:ascii="Arial" w:cs="Arial" w:eastAsia="Arial" w:hAnsi="Arial"/>
          <w:color w:val="1f1f1f"/>
          <w:rtl w:val="0"/>
        </w:rPr>
        <w:t xml:space="preserve"> The consolidation must remain structurally intact above a rising 200MA. The total peak-to-trough volatility of the consolidation range should be constrained between 20% and 30%. This indicates institutional absorption/digestion of prior gains rather than structural distribution.</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Second-Chance Pullbacks:</w:t>
      </w:r>
      <w:r w:rsidDel="00000000" w:rsidR="00000000" w:rsidRPr="00000000">
        <w:rPr>
          <w:rFonts w:ascii="Arial" w:cs="Arial" w:eastAsia="Arial" w:hAnsi="Arial"/>
          <w:color w:val="1f1f1f"/>
          <w:rtl w:val="0"/>
        </w:rPr>
        <w:t xml:space="preserve"> If a high-volume breakout is missed, the bot must not engage in emotional chasing (FOMO). It must wait for a "Second-Chance" low-volume pullback to test the newly established 10MA or the horizontal flip zone.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CAPITOL ALLOCATION &amp; POSITION SIZING (THE PROFIT CUSHION FRAMEWORK)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foundational risk protocol dictates that traders should fund speculative open risk using realized profits rather than hard principal capital.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br w:type="textWrapping"/>
        <w:t xml:space="preserve">                  │   Start of Trading Cycle     │</w:t>
        <w:br w:type="textWrapping"/>
        <w:t xml:space="preserve">                  │   (Assume Zero Profits)      │</w:t>
        <w:br w:type="textWrapping"/>
        <w:t xml:space="preserve">                  └──────────────┬───────────────┘</w:t>
        <w:br w:type="textWrapping"/>
        <w:t xml:space="preserve">                                 │</w:t>
        <w:br w:type="textWrapping"/>
        <w:t xml:space="preserve">                                 ▼</w:t>
        <w:br w:type="textWrapping"/>
        <w:t xml:space="preserve">                  ┌──────────────────────────────┐</w:t>
        <w:br w:type="textWrapping"/>
        <w:t xml:space="preserve">                  │    Defensive Sizing Phase    │</w:t>
        <w:br w:type="textWrapping"/>
        <w:t xml:space="preserve">                  │  - Minimal principal risk    │</w:t>
        <w:br w:type="textWrapping"/>
        <w:t xml:space="preserve">                  │  - Conserve baseline capital │</w:t>
        <w:br w:type="textWrapping"/>
        <w:t xml:space="preserve">                  └──────────────┬───────────────┘</w:t>
        <w:br w:type="textWrapping"/>
        <w:t xml:space="preserve">                                 │</w:t>
        <w:br w:type="textWrapping"/>
        <w:t xml:space="preserve">                                 ▼</w:t>
        <w:br w:type="textWrapping"/>
        <w:t xml:space="preserve">                  ┌──────────────────────────────┐</w:t>
        <w:br w:type="textWrapping"/>
        <w:t xml:space="preserve">                  │ Realized Gains Accumulating? │</w:t>
        <w:br w:type="textWrapping"/>
        <w:t xml:space="preserve">                  └──────────────┬───────────────┘</w:t>
        <w:br w:type="textWrapping"/>
        <w:t xml:space="preserve">                                 │</w:t>
        <w:br w:type="textWrapping"/>
        <w:t xml:space="preserve">                ┌────────────────┴────────────────┐</w:t>
        <w:br w:type="textWrapping"/>
        <w:t xml:space="preserve">                ▼ YES                             ▼ NO</w:t>
        <w:br w:type="textWrapping"/>
        <w:t xml:space="preserve">  ┌──────────────────────────────┐  ┌──────────────────────────────┐</w:t>
        <w:br w:type="textWrapping"/>
        <w:t xml:space="preserve">  │    Aggressive Scaling Phase  │  │  Maintain Defensive Stance   │</w:t>
        <w:br w:type="textWrapping"/>
        <w:t xml:space="preserve">  │  - Open Risk = Profit Cushion│  │  - Do NOT force size         │</w:t>
        <w:br w:type="textWrapping"/>
        <w:t xml:space="preserve">  │  - Fund size via past gains  │  │  - Cut sizes if out of sync  │</w:t>
        <w:br w:type="textWrapping"/>
        <w:t xml:space="preserve">  └──────────────────────────────┘  └──────────────────────────────┘</w:t>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Algorithmic Allocation Protocol</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Defensive Phase:</w:t>
      </w:r>
      <w:r w:rsidDel="00000000" w:rsidR="00000000" w:rsidRPr="00000000">
        <w:rPr>
          <w:rFonts w:ascii="Arial" w:cs="Arial" w:eastAsia="Arial" w:hAnsi="Arial"/>
          <w:color w:val="1f1f1f"/>
          <w:rtl w:val="0"/>
        </w:rPr>
        <w:t xml:space="preserve"> At the start of a new trading year or macro cycle, assume zero profit backing. Positions must be sized conservatively with minimal principal risk parameters.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The Accumulation of "Profit Cushion" (利潤軟墊):</w:t>
      </w:r>
      <w:r w:rsidDel="00000000" w:rsidR="00000000" w:rsidRPr="00000000">
        <w:rPr>
          <w:rFonts w:ascii="Arial" w:cs="Arial" w:eastAsia="Arial" w:hAnsi="Arial"/>
          <w:color w:val="1f1f1f"/>
          <w:rtl w:val="0"/>
        </w:rPr>
        <w:t xml:space="preserve"> Realized gains are tracked continuously. Once a trade yields an account-level profit buffer (e.g., generating a net 3% to 4% gain on total capital), this dollar value becomes the maximum risk ceiling for the next series of trades.</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Aggressive Scaling Matrix:</w:t>
      </w:r>
      <w:r w:rsidDel="00000000" w:rsidR="00000000" w:rsidRPr="00000000">
        <w:rPr>
          <w:rFonts w:ascii="Arial" w:cs="Arial" w:eastAsia="Arial" w:hAnsi="Arial"/>
          <w:color w:val="1f1f1f"/>
          <w:rtl w:val="0"/>
        </w:rPr>
        <w:t xml:space="preserve"> When the trading bot is perfectly aligned with the market rhythm ("in sync"), it scales position sizing upward aggressively. The total dollar value between the entry price and the stop-loss price across all open positions must not exceed the accumulated profit cushion.</w:t>
      </w:r>
    </w:p>
    <w:p w:rsidR="00000000" w:rsidDel="00000000" w:rsidP="00000000" w:rsidRDefault="00000000" w:rsidRPr="00000000" w14:paraId="00000038">
      <w:pPr>
        <w:numPr>
          <w:ilvl w:val="1"/>
          <w:numId w:val="8"/>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i w:val="1"/>
          <w:iCs w:val="1"/>
          <w:color w:val="1f1f1f"/>
          <w:rtl w:val="0"/>
        </w:rPr>
        <w:t xml:space="preserve">Result:</w:t>
      </w:r>
      <w:r w:rsidDel="00000000" w:rsidR="00000000" w:rsidRPr="00000000">
        <w:rPr>
          <w:rFonts w:ascii="Arial" w:cs="Arial" w:eastAsia="Arial" w:hAnsi="Arial"/>
          <w:color w:val="1f1f1f"/>
          <w:rtl w:val="0"/>
        </w:rPr>
        <w:t xml:space="preserve"> If the scaled positions hit their stops, the losses only erase the previously won profits. The baseline principal remains completely insulated from drawdown.</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The "Scale Up/Scale Down" (贏谷輸縮) Rule:</w:t>
      </w:r>
      <w:r w:rsidDel="00000000" w:rsidR="00000000" w:rsidRPr="00000000">
        <w:rPr>
          <w:rFonts w:ascii="Arial" w:cs="Arial" w:eastAsia="Arial" w:hAnsi="Arial"/>
          <w:color w:val="1f1f1f"/>
          <w:rtl w:val="0"/>
        </w:rPr>
        <w:t xml:space="preserve"> Aggressive position sizes and leverage can only be active during documented winning streaks when equity curve momentum is positive. If consecutive losses occur or market conditions degrade, the bot must automatically downscale position sizing immediately to preserve capital.</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EXIT &amp; TRAILING STOP LOGIC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maintains two distinct, mutually exclusive exit models that can be deployed individually or combined into a hybrid structural execution program.</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Model A: Sell into Strength (趁強勢賣出)</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Trigger Conditions:</w:t>
      </w:r>
      <w:r w:rsidDel="00000000" w:rsidR="00000000" w:rsidRPr="00000000">
        <w:rPr>
          <w:rFonts w:ascii="Arial" w:cs="Arial" w:eastAsia="Arial" w:hAnsi="Arial"/>
          <w:color w:val="1f1f1f"/>
          <w:rtl w:val="0"/>
        </w:rPr>
        <w:t xml:space="preserve"> Execution occurs when the price accelerates exponentially into defined target zones. This includes testing an upper Trend Resistance Line (TRL), entering a clear parabolic extension, or reaching a specific profit target that represents a substantial multiple of the initial risk parameter (e.g., initial risk was 5%, current profit is 20% to 25%).</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Execution Profile:</w:t>
      </w:r>
      <w:r w:rsidDel="00000000" w:rsidR="00000000" w:rsidRPr="00000000">
        <w:rPr>
          <w:rFonts w:ascii="Arial" w:cs="Arial" w:eastAsia="Arial" w:hAnsi="Arial"/>
          <w:color w:val="1f1f1f"/>
          <w:rtl w:val="0"/>
        </w:rPr>
        <w:t xml:space="preserve"> Can be deployed mechanically to exit the position completely or scale out fractionally (e.g., selling 30% or 50% tranches). This locks in substantial gains immediately and eliminates profit-giveback drawdown, though it relinquishes exposure to massive macro extensions.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Model B: Sell into Weakness (趁弱勢賣出)</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Trigger Conditions:</w:t>
      </w:r>
      <w:r w:rsidDel="00000000" w:rsidR="00000000" w:rsidRPr="00000000">
        <w:rPr>
          <w:rFonts w:ascii="Arial" w:cs="Arial" w:eastAsia="Arial" w:hAnsi="Arial"/>
          <w:color w:val="1f1f1f"/>
          <w:rtl w:val="0"/>
        </w:rPr>
        <w:t xml:space="preserve"> Execution occurs strictly upon the structural breakdown of a defined technical support layer. The position is held through normal intermediate volatility until a clear sell signal registers.</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Execution Profile:</w:t>
      </w:r>
      <w:r w:rsidDel="00000000" w:rsidR="00000000" w:rsidRPr="00000000">
        <w:rPr>
          <w:rFonts w:ascii="Arial" w:cs="Arial" w:eastAsia="Arial" w:hAnsi="Arial"/>
          <w:color w:val="1f1f1f"/>
          <w:rtl w:val="0"/>
        </w:rPr>
        <w:t xml:space="preserve"> The exit is triggered when the daily closing price closes below a trailing reference point, such as a major moving average (typically the 10MA or 20MA) or a key structural swing low.</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System Tracking Rule:</w:t>
      </w:r>
      <w:r w:rsidDel="00000000" w:rsidR="00000000" w:rsidRPr="00000000">
        <w:rPr>
          <w:rFonts w:ascii="Arial" w:cs="Arial" w:eastAsia="Arial" w:hAnsi="Arial"/>
          <w:color w:val="1f1f1f"/>
          <w:rtl w:val="0"/>
        </w:rPr>
        <w:t xml:space="preserve"> For completely mechanical, emotion-free execution, trailing parameters are updated and adjusted on a fixed schedule (e.g., once per week). This prevents premature exits caused by intra-day noise or emotional over-management, ensuring maximum retention of multi-bagger trends.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C: The Hybrid Deployment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optimize execution, the system can combine both models: sell half of the total position into strength at an explicit structural resistance target, and transition the remaining 50% portion to a strict "Sell into Weakness" trailing stop matrix to capture potential extended trends.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THE SHORT HEDGE SYSTEM (BUY THE STRONG, SHORT THE WEAK)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Short selling is treated as a secondary tool designed primarily to hedge long exposure during high-risk market transitions, rather than a standalone profit engine.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Selection and Setup Constraints</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Relative Strength Filter:</w:t>
      </w:r>
      <w:r w:rsidDel="00000000" w:rsidR="00000000" w:rsidRPr="00000000">
        <w:rPr>
          <w:rFonts w:ascii="Arial Unicode MS" w:cs="Arial Unicode MS" w:eastAsia="Arial Unicode MS" w:hAnsi="Arial Unicode MS"/>
          <w:color w:val="1f1f1f"/>
          <w:rtl w:val="0"/>
        </w:rPr>
        <w:t xml:space="preserve"> Short execution must look for structurally weak stocks that are lagging behind the broad indexes ("買強沽弱"). When the broad index drops slightly, these weak stocks should fall significantly more.</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Short M.E.T.A. Requirements:</w:t>
      </w:r>
      <w:r w:rsidDel="00000000" w:rsidR="00000000" w:rsidRPr="00000000">
        <w:rPr>
          <w:rFonts w:ascii="Arial" w:cs="Arial" w:eastAsia="Arial" w:hAnsi="Arial"/>
          <w:color w:val="1f1f1f"/>
          <w:rtl w:val="0"/>
        </w:rPr>
        <w:t xml:space="preserve"> The entry setup requires a low-volume, corrective rally back up into a major horizontal resistance zone (typically a prior structural support level that has broken down and flipped to resistance).</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Moving Average Alignment:</w:t>
      </w:r>
      <w:r w:rsidDel="00000000" w:rsidR="00000000" w:rsidRPr="00000000">
        <w:rPr>
          <w:rFonts w:ascii="Arial" w:cs="Arial" w:eastAsia="Arial" w:hAnsi="Arial"/>
          <w:color w:val="1f1f1f"/>
          <w:rtl w:val="0"/>
        </w:rPr>
        <w:t xml:space="preserve"> The short entry zone must intersect directly with a declining 20MA or 20EMA acting as an active overhead barrier.</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Execution Objective:</w:t>
      </w:r>
      <w:r w:rsidDel="00000000" w:rsidR="00000000" w:rsidRPr="00000000">
        <w:rPr>
          <w:rFonts w:ascii="Arial" w:cs="Arial" w:eastAsia="Arial" w:hAnsi="Arial"/>
          <w:color w:val="1f1f1f"/>
          <w:rtl w:val="0"/>
        </w:rPr>
        <w:t xml:space="preserve"> The short positions generate direct profits during a market correction. This cash cushion offsets minor drawdowns in core long leadership holdings, which improves psychological stability and strengthens the system's capacity to hold onto structural leaders through temporary market pullbacks.</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ALGORITHMIC RULE SET AND PSEUDO-LOGIC CHUNKS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 Entry Validation Token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Plaintext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IF Price_Above_Rising_200MA == TRUE:</w:t>
        <w:br w:type="textWrapping"/>
        <w:t xml:space="preserve">    IF Price_In_Zone(20EMA, 20SMA) OR Price_Near(10MA) OR Price_Near(50MA):</w:t>
        <w:br w:type="textWrapping"/>
        <w:t xml:space="preserve">        IF Horizontal_Flip_Level_Present == TRUE:</w:t>
        <w:br w:type="textWrapping"/>
        <w:t xml:space="preserve">            IF Pullback_Volume &lt; Moving_Average_Volume(50):</w:t>
        <w:br w:type="textWrapping"/>
        <w:t xml:space="preserve">                IF Trendline_Support_Present == TRUE:</w:t>
        <w:br w:type="textWrapping"/>
        <w:t xml:space="preserve">                    SIGNAL = "ENTER_LONG_META_ZONE"</w:t>
        <w:br w:type="textWrapping"/>
        <w:t xml:space="preserve">                    STOP_LOSS = Calculate_Structural_Stop(Below_Zone_Low - Buffer)</w:t>
        <w:br w:type="textWrapping"/>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Risk/Position Size Calculation Token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Plaintext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IF Total_Realized_Profits_Current_Cycle &gt; 0:</w:t>
        <w:br w:type="textWrapping"/>
        <w:t xml:space="preserve">    Profit_Cushion = Total_Realized_Profits_Current_Cycle</w:t>
        <w:br w:type="textWrapping"/>
        <w:t xml:space="preserve">    Max_Allowed_Risk = Profit_Cushion</w:t>
        <w:br w:type="textWrapping"/>
        <w:t xml:space="preserve">ELSE:</w:t>
        <w:br w:type="textWrapping"/>
        <w:t xml:space="preserve">    Max_Allowed_Risk = Baseline_Principal * Defensive_Risk_Percentage</w:t>
        <w:br w:type="textWrapping"/>
        <w:br w:type="textWrapping"/>
        <w:t xml:space="preserve">Position_Size = Max_Allowed_Risk / (Entry_Price - Stop_Loss_Price)</w:t>
        <w:br w:type="textWrapping"/>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Exit Logic Token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Plaintext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IF Strategy_Mode == "HYBRID":</w:t>
        <w:br w:type="textWrapping"/>
        <w:t xml:space="preserve">    IF Price &gt;= Target_Trend_Resistance_Line OR Current_R_to_R &gt;= 5:</w:t>
        <w:br w:type="textWrapping"/>
        <w:t xml:space="preserve">        EXECUTE = "SELL_50_PERCENT_INTO_STRENGTH"</w:t>
        <w:br w:type="textWrapping"/>
        <w:t xml:space="preserve">        SET_TRAILING_STOP = "CLOSE_BELOW_10MA_WEEKLY_ADJUSTED"</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