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98DA" w14:textId="77777777" w:rsidR="00FC25FA" w:rsidRDefault="00000000">
      <w:pPr>
        <w:spacing w:after="10" w:line="252" w:lineRule="auto"/>
        <w:jc w:val="center"/>
      </w:pPr>
      <w:r>
        <w:rPr>
          <w:b/>
          <w:bCs/>
          <w:color w:val="000000"/>
        </w:rPr>
        <w:t>MEMORANDUM</w:t>
      </w:r>
    </w:p>
    <w:p w14:paraId="5274AB20" w14:textId="77777777" w:rsidR="00FC25FA" w:rsidRDefault="00FC25FA">
      <w:pPr>
        <w:pBdr>
          <w:bottom w:val="single" w:sz="2" w:space="1" w:color="1F3864"/>
        </w:pBdr>
        <w:spacing w:after="40"/>
      </w:pPr>
    </w:p>
    <w:p w14:paraId="60D5D2D9" w14:textId="77777777" w:rsidR="00FC25FA" w:rsidRDefault="00000000">
      <w:pPr>
        <w:spacing w:after="20" w:line="252" w:lineRule="auto"/>
      </w:pPr>
      <w:r>
        <w:rPr>
          <w:b/>
          <w:bCs/>
        </w:rPr>
        <w:t xml:space="preserve">TO:  </w:t>
      </w:r>
      <w:r>
        <w:t>Marketing Leadership, Rx Drug Portfolio</w:t>
      </w:r>
    </w:p>
    <w:p w14:paraId="0606C213" w14:textId="77777777" w:rsidR="00FC25FA" w:rsidRDefault="00000000">
      <w:pPr>
        <w:spacing w:after="20" w:line="252" w:lineRule="auto"/>
      </w:pPr>
      <w:r>
        <w:rPr>
          <w:b/>
          <w:bCs/>
        </w:rPr>
        <w:t xml:space="preserve">FROM:  </w:t>
      </w:r>
      <w:r>
        <w:t>Analytics Team</w:t>
      </w:r>
    </w:p>
    <w:p w14:paraId="4C501450" w14:textId="77777777" w:rsidR="00FC25FA" w:rsidRDefault="00000000">
      <w:pPr>
        <w:spacing w:after="20" w:line="252" w:lineRule="auto"/>
      </w:pPr>
      <w:r>
        <w:rPr>
          <w:b/>
          <w:bCs/>
        </w:rPr>
        <w:t xml:space="preserve">DATE:  </w:t>
      </w:r>
      <w:r>
        <w:t>March 2026</w:t>
      </w:r>
    </w:p>
    <w:p w14:paraId="372830DB" w14:textId="77777777" w:rsidR="00FC25FA" w:rsidRDefault="00000000">
      <w:pPr>
        <w:spacing w:after="20" w:line="252" w:lineRule="auto"/>
      </w:pPr>
      <w:r>
        <w:rPr>
          <w:b/>
          <w:bCs/>
        </w:rPr>
        <w:t xml:space="preserve">RE:  </w:t>
      </w:r>
      <w:r>
        <w:t>Exploratory Data Analysis Findings, Marketing Mix Modeling (MMIX)</w:t>
      </w:r>
    </w:p>
    <w:p w14:paraId="1BE71BB3" w14:textId="77777777" w:rsidR="00FC25FA" w:rsidRDefault="00FC25FA">
      <w:pPr>
        <w:pBdr>
          <w:bottom w:val="single" w:sz="2" w:space="1" w:color="1F3864"/>
        </w:pBdr>
        <w:spacing w:after="80"/>
      </w:pPr>
    </w:p>
    <w:p w14:paraId="0C1E6936" w14:textId="77777777" w:rsidR="00FC25FA" w:rsidRDefault="00000000">
      <w:pPr>
        <w:pStyle w:val="Heading1"/>
        <w:pBdr>
          <w:bottom w:val="single" w:sz="3" w:space="2" w:color="1F3864"/>
        </w:pBdr>
      </w:pPr>
      <w:r>
        <w:t>Purpose</w:t>
      </w:r>
    </w:p>
    <w:p w14:paraId="05B70587" w14:textId="77777777" w:rsidR="00FC25FA" w:rsidRDefault="00000000">
      <w:pPr>
        <w:spacing w:after="60" w:line="252" w:lineRule="auto"/>
      </w:pPr>
      <w:r>
        <w:rPr>
          <w:color w:val="000000"/>
        </w:rPr>
        <w:t>This memo summarizes findings from the Exploratory Data Analysis (EDA) conducted on 12 years of marketing and sales data (2013-2024) across 22 agents (brands) in three therapeutic classes: PPI (Proton Pump Inhibitors), SSRI (Antidepressants), and Statin (Cholesterol). The analysis addresses eight core business questions to guide model design and budget allocation decisions.</w:t>
      </w:r>
    </w:p>
    <w:p w14:paraId="595BB567" w14:textId="77777777" w:rsidR="00FC25FA" w:rsidRDefault="00000000">
      <w:pPr>
        <w:pStyle w:val="Heading1"/>
        <w:pBdr>
          <w:bottom w:val="single" w:sz="3" w:space="2" w:color="1F3864"/>
        </w:pBdr>
      </w:pPr>
      <w:r>
        <w:t>Key Findings</w:t>
      </w:r>
    </w:p>
    <w:p w14:paraId="2E4B1473" w14:textId="77777777" w:rsidR="00FC25FA" w:rsidRDefault="00000000">
      <w:pPr>
        <w:pStyle w:val="Heading2"/>
      </w:pPr>
      <w:r>
        <w:t>Revenue Concentration and Growth (Q1, Q2)</w:t>
      </w:r>
    </w:p>
    <w:p w14:paraId="115C4610" w14:textId="77777777" w:rsidR="00FC25FA" w:rsidRDefault="00000000">
      <w:pPr>
        <w:spacing w:after="60" w:line="252" w:lineRule="auto"/>
      </w:pPr>
      <w:r>
        <w:rPr>
          <w:color w:val="000000"/>
        </w:rPr>
        <w:t xml:space="preserve">The top five agents (brands), Lipitor, Zoloft, Lexapro, Nexium, and </w:t>
      </w:r>
      <w:proofErr w:type="spellStart"/>
      <w:r>
        <w:rPr>
          <w:color w:val="000000"/>
        </w:rPr>
        <w:t>Prevacid</w:t>
      </w:r>
      <w:proofErr w:type="spellEnd"/>
      <w:r>
        <w:rPr>
          <w:color w:val="000000"/>
        </w:rPr>
        <w:t>, account for 52% of portfolio revenue, with Lipitor alone at 20%. Average sales peaked at $14.5B in 2017 and declined 45% to $8B by 2024. All three classes are contracting at different rates. Marketing spend during this declining phase may be defending revenue rather than generating growth, a distinction that matters for interpreting efficiency metrics.</w:t>
      </w:r>
    </w:p>
    <w:p w14:paraId="1BF895D4" w14:textId="77777777" w:rsidR="00FC25FA" w:rsidRDefault="00000000">
      <w:pPr>
        <w:pStyle w:val="Heading2"/>
      </w:pPr>
      <w:r>
        <w:t>Budget Allocation (Q3)</w:t>
      </w:r>
    </w:p>
    <w:p w14:paraId="29E3FB7D" w14:textId="77777777" w:rsidR="00964C7F" w:rsidRDefault="00000000">
      <w:pPr>
        <w:spacing w:after="60" w:line="252" w:lineRule="auto"/>
        <w:rPr>
          <w:color w:val="000000"/>
        </w:rPr>
      </w:pPr>
      <w:r>
        <w:rPr>
          <w:color w:val="000000"/>
        </w:rPr>
        <w:t xml:space="preserve">Channel strategy varies by class: </w:t>
      </w:r>
    </w:p>
    <w:p w14:paraId="6DE5585B" w14:textId="77777777" w:rsidR="00964C7F" w:rsidRPr="00964C7F" w:rsidRDefault="00000000" w:rsidP="00964C7F">
      <w:pPr>
        <w:pStyle w:val="ListParagraph"/>
        <w:numPr>
          <w:ilvl w:val="0"/>
          <w:numId w:val="2"/>
        </w:numPr>
        <w:spacing w:after="60" w:line="252" w:lineRule="auto"/>
      </w:pPr>
      <w:r w:rsidRPr="00964C7F">
        <w:rPr>
          <w:color w:val="000000"/>
        </w:rPr>
        <w:t>PPI = dual-channel ($79M detailing, $43M Direct-to-Consumer Ads (DTCA)</w:t>
      </w:r>
      <w:proofErr w:type="gramStart"/>
      <w:r w:rsidRPr="00964C7F">
        <w:rPr>
          <w:color w:val="000000"/>
        </w:rPr>
        <w:t>);</w:t>
      </w:r>
      <w:proofErr w:type="gramEnd"/>
      <w:r w:rsidRPr="00964C7F">
        <w:rPr>
          <w:color w:val="000000"/>
        </w:rPr>
        <w:t xml:space="preserve"> </w:t>
      </w:r>
    </w:p>
    <w:p w14:paraId="27B3111C" w14:textId="77777777" w:rsidR="00964C7F" w:rsidRPr="00964C7F" w:rsidRDefault="00000000" w:rsidP="00964C7F">
      <w:pPr>
        <w:pStyle w:val="ListParagraph"/>
        <w:numPr>
          <w:ilvl w:val="0"/>
          <w:numId w:val="2"/>
        </w:numPr>
        <w:spacing w:after="60" w:line="252" w:lineRule="auto"/>
      </w:pPr>
      <w:r w:rsidRPr="00964C7F">
        <w:rPr>
          <w:color w:val="000000"/>
        </w:rPr>
        <w:t xml:space="preserve">Statin = moderate </w:t>
      </w:r>
      <w:proofErr w:type="gramStart"/>
      <w:r w:rsidRPr="00964C7F">
        <w:rPr>
          <w:color w:val="000000"/>
        </w:rPr>
        <w:t>both;</w:t>
      </w:r>
      <w:proofErr w:type="gramEnd"/>
      <w:r w:rsidRPr="00964C7F">
        <w:rPr>
          <w:color w:val="000000"/>
        </w:rPr>
        <w:t xml:space="preserve"> </w:t>
      </w:r>
    </w:p>
    <w:p w14:paraId="04BEEA31" w14:textId="77777777" w:rsidR="00964C7F" w:rsidRPr="00964C7F" w:rsidRDefault="00000000" w:rsidP="00964C7F">
      <w:pPr>
        <w:pStyle w:val="ListParagraph"/>
        <w:numPr>
          <w:ilvl w:val="0"/>
          <w:numId w:val="2"/>
        </w:numPr>
        <w:spacing w:after="60" w:line="252" w:lineRule="auto"/>
      </w:pPr>
      <w:r w:rsidRPr="00964C7F">
        <w:rPr>
          <w:color w:val="000000"/>
        </w:rPr>
        <w:t xml:space="preserve">SSRI = comparable detailing ($50M) but minimal Direct-to-Consumer Ads (DTCA) ($11M). </w:t>
      </w:r>
    </w:p>
    <w:p w14:paraId="2A989A78" w14:textId="1BA42F7F" w:rsidR="00FC25FA" w:rsidRDefault="00000000" w:rsidP="00964C7F">
      <w:pPr>
        <w:spacing w:after="60" w:line="252" w:lineRule="auto"/>
      </w:pPr>
      <w:r w:rsidRPr="00964C7F">
        <w:rPr>
          <w:color w:val="000000"/>
        </w:rPr>
        <w:t>At the agent (brand) level, Lexapro invests $193M in detailing with near-zero Direct-to-Consumer Ads (DTCA), while Nexium invests $153M plus $183M in Direct-to-Consumer Ads (DTCA). This variation provides natural experiments for isolating channel effects.</w:t>
      </w:r>
    </w:p>
    <w:p w14:paraId="3B6AA6C4" w14:textId="77777777" w:rsidR="00FC25FA" w:rsidRDefault="00000000">
      <w:pPr>
        <w:pStyle w:val="Heading2"/>
      </w:pPr>
      <w:r>
        <w:t>Channel Efficiency and Diminishing Returns (Q4, Q5)</w:t>
      </w:r>
    </w:p>
    <w:p w14:paraId="058C7763" w14:textId="77777777" w:rsidR="00FC25FA" w:rsidRDefault="00000000">
      <w:pPr>
        <w:spacing w:after="60" w:line="252" w:lineRule="auto"/>
      </w:pPr>
      <w:r>
        <w:rPr>
          <w:color w:val="000000"/>
        </w:rPr>
        <w:t>Detailing shows a more consistent sales-per-dollar relationship across classes (Statin: $0.55B/$M, PPI: $0.39B/$M, SSRI: $0.36B/$M). Direct-to-Consumer Ads (DTCA) ratios are unreliable due to 47% structural zeros. LOWESS and bucketed analysis confirm diminishing returns in detailing, with saturation at $80-93M. Agents (brands) spending above $100M (Lexapro, Nexium, Lipitor, Crestor) yield progressively less from incremental detailing. Do not use these descriptive ratios for reallocation; formal modeling is required.</w:t>
      </w:r>
    </w:p>
    <w:p w14:paraId="78CCBDB2" w14:textId="77777777" w:rsidR="00FC25FA" w:rsidRDefault="00000000">
      <w:pPr>
        <w:pStyle w:val="Heading2"/>
      </w:pPr>
      <w:r>
        <w:t>Class, Agent (Brand) Structure, and Marketing Regimes (Q6, Q7)</w:t>
      </w:r>
    </w:p>
    <w:p w14:paraId="6196405C" w14:textId="6ED90ED9" w:rsidR="00FC25FA" w:rsidRDefault="00000000">
      <w:pPr>
        <w:spacing w:after="60" w:line="252" w:lineRule="auto"/>
      </w:pPr>
      <w:r>
        <w:rPr>
          <w:color w:val="000000"/>
        </w:rPr>
        <w:t xml:space="preserve">Statin agents (brands) show the steepest detailing response in log-log </w:t>
      </w:r>
      <w:r w:rsidR="00964C7F">
        <w:rPr>
          <w:color w:val="000000"/>
        </w:rPr>
        <w:t>analysis,</w:t>
      </w:r>
      <w:r>
        <w:rPr>
          <w:color w:val="000000"/>
        </w:rPr>
        <w:t xml:space="preserve"> SSRI the flattest. Agent (brand) scale varies 50x (Lipitor at $47B versus Luvox at $0.6B), making uniform efficiency targets inappropriate. Additionally, 47% of observations have zero Direct-to-Consumer Ads (DTCA), a deliberate physician-only strategy concentrated in SSRI agents (brands) (58%). The portfolio operates under two distinct commercial models that must be modeled separately.</w:t>
      </w:r>
    </w:p>
    <w:p w14:paraId="5C2FFC6F" w14:textId="77777777" w:rsidR="00FC25FA" w:rsidRDefault="00000000">
      <w:pPr>
        <w:pStyle w:val="Heading2"/>
      </w:pPr>
      <w:r>
        <w:t>Panel Structure and Lifecycle (Q8)</w:t>
      </w:r>
    </w:p>
    <w:p w14:paraId="37F4278F" w14:textId="77777777" w:rsidR="00FC25FA" w:rsidRDefault="00000000">
      <w:pPr>
        <w:spacing w:after="60" w:line="252" w:lineRule="auto"/>
      </w:pPr>
      <w:r>
        <w:rPr>
          <w:color w:val="000000"/>
        </w:rPr>
        <w:t xml:space="preserve">The dataset is an unbalanced panel (207 of 264 possible combinations). Five agents (brands) entered after 2016; </w:t>
      </w:r>
      <w:proofErr w:type="spellStart"/>
      <w:r>
        <w:rPr>
          <w:color w:val="000000"/>
        </w:rPr>
        <w:t>Pexeva</w:t>
      </w:r>
      <w:proofErr w:type="spellEnd"/>
      <w:r>
        <w:rPr>
          <w:color w:val="000000"/>
        </w:rPr>
        <w:t xml:space="preserve"> has only 4 years of data. Within-agent (brand) trajectories confirm detailing-sales co-movement over time, supporting causal modeling. However, lifecycle stage differences (growth, plateau, decline) may confound estimates, requiring year and agent (brand) controls.</w:t>
      </w:r>
    </w:p>
    <w:p w14:paraId="2C9E6EBE" w14:textId="77777777" w:rsidR="00FC25FA" w:rsidRDefault="00000000">
      <w:pPr>
        <w:pStyle w:val="Heading1"/>
        <w:pBdr>
          <w:bottom w:val="single" w:sz="3" w:space="2" w:color="1F3864"/>
        </w:pBdr>
      </w:pPr>
      <w:r>
        <w:t>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8851"/>
      </w:tblGrid>
      <w:tr w:rsidR="00FC25FA" w14:paraId="61585E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0B480A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D77962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Key Finding</w:t>
            </w:r>
          </w:p>
        </w:tc>
      </w:tr>
      <w:tr w:rsidR="00FC25FA" w14:paraId="6921D5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31DDB0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Q1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127511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Top 5 agents (brands) = 52% of revenue. Lipitor alone = 20%.</w:t>
            </w:r>
          </w:p>
        </w:tc>
      </w:tr>
      <w:tr w:rsidR="00FC25FA" w14:paraId="7B752F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0D7421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Q2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2CEC61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Sales peaked 2017, declined 45% by 2024. All classes contracting.</w:t>
            </w:r>
          </w:p>
        </w:tc>
      </w:tr>
      <w:tr w:rsidR="00FC25FA" w14:paraId="261E93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B1575B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Q3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71217E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PPI = dual-channel, SSRI = detailing-only, Statin = moderate both.</w:t>
            </w:r>
          </w:p>
        </w:tc>
      </w:tr>
      <w:tr w:rsidR="00FC25FA" w14:paraId="40720A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141076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Q4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C87D0B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Detailing more consistent. Direct-to-Consumer Ads (DTCA) ratios unreliable (47% zeros).</w:t>
            </w:r>
          </w:p>
        </w:tc>
      </w:tr>
      <w:tr w:rsidR="00FC25FA" w14:paraId="596D9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1170F5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Q5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27517B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Detailing saturates at $80-93M. Direct-to-Consumer Ads (DTCA) positive but inconsistent.</w:t>
            </w:r>
          </w:p>
        </w:tc>
      </w:tr>
      <w:tr w:rsidR="00FC25FA" w14:paraId="573E3B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C0A210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Q6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1636BA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Statin steepest response, SSRI flattest. Agent (brand) scale varies 50x.</w:t>
            </w:r>
          </w:p>
        </w:tc>
      </w:tr>
      <w:tr w:rsidR="00FC25FA" w14:paraId="5AD7DC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707993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Q7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F4C289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>47% zero Direct-to-Consumer Ads (DTCA) = physician-only regime. SSRIs 58%.</w:t>
            </w:r>
          </w:p>
        </w:tc>
      </w:tr>
      <w:tr w:rsidR="00FC25FA" w14:paraId="2BECE7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27C050" w14:textId="77777777" w:rsidR="00FC25FA" w:rsidRDefault="00000000">
            <w:pPr>
              <w:spacing w:line="228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Q8</w:t>
            </w:r>
          </w:p>
        </w:tc>
        <w:tc>
          <w:tcPr>
            <w:tcW w:w="8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09757B" w14:textId="77777777" w:rsidR="00FC25FA" w:rsidRDefault="00000000">
            <w:pPr>
              <w:spacing w:line="228" w:lineRule="auto"/>
            </w:pPr>
            <w:r>
              <w:rPr>
                <w:color w:val="000000"/>
                <w:sz w:val="18"/>
                <w:szCs w:val="18"/>
              </w:rPr>
              <w:t xml:space="preserve">Unbalanced </w:t>
            </w:r>
            <w:proofErr w:type="gramStart"/>
            <w:r>
              <w:rPr>
                <w:color w:val="000000"/>
                <w:sz w:val="18"/>
                <w:szCs w:val="18"/>
              </w:rPr>
              <w:t>panel;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within-agent (brand) co-movement supports causal modeling.</w:t>
            </w:r>
          </w:p>
        </w:tc>
      </w:tr>
    </w:tbl>
    <w:p w14:paraId="3A711803" w14:textId="77777777" w:rsidR="00FC25FA" w:rsidRDefault="00000000">
      <w:pPr>
        <w:pStyle w:val="Heading1"/>
        <w:pBdr>
          <w:bottom w:val="single" w:sz="3" w:space="2" w:color="1F3864"/>
        </w:pBdr>
      </w:pPr>
      <w:r>
        <w:t>Next Steps</w:t>
      </w:r>
    </w:p>
    <w:p w14:paraId="1FB2EBAE" w14:textId="77777777" w:rsidR="00FC25FA" w:rsidRDefault="00000000">
      <w:pPr>
        <w:spacing w:after="40" w:line="252" w:lineRule="auto"/>
      </w:pPr>
      <w:r>
        <w:rPr>
          <w:color w:val="000000"/>
        </w:rPr>
        <w:t xml:space="preserve">Prepared features: </w:t>
      </w:r>
      <w:proofErr w:type="spellStart"/>
      <w:r>
        <w:rPr>
          <w:color w:val="000000"/>
        </w:rPr>
        <w:t>log_sales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log_detailing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log_dtca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dtca_zero</w:t>
      </w:r>
      <w:proofErr w:type="spellEnd"/>
      <w:r>
        <w:rPr>
          <w:color w:val="000000"/>
        </w:rPr>
        <w:t>.</w:t>
      </w:r>
    </w:p>
    <w:p w14:paraId="2E083BB8" w14:textId="77777777" w:rsidR="00FC25FA" w:rsidRDefault="00000000">
      <w:pPr>
        <w:spacing w:after="40" w:line="252" w:lineRule="auto"/>
      </w:pPr>
      <w:r>
        <w:rPr>
          <w:b/>
          <w:bCs/>
        </w:rPr>
        <w:t xml:space="preserve">Phase 1, Parametric Baseline: </w:t>
      </w:r>
      <w:r>
        <w:t xml:space="preserve">log(1+Sales) ~ log(1+Detailing) + </w:t>
      </w:r>
      <w:proofErr w:type="gramStart"/>
      <w:r>
        <w:t>log(</w:t>
      </w:r>
      <w:proofErr w:type="gramEnd"/>
      <w:r>
        <w:t xml:space="preserve">1+Direct-to-Consumer Ads (DTCA)) + Class + Agent + Year. Extensions: class x channel interactions, </w:t>
      </w:r>
      <w:proofErr w:type="spellStart"/>
      <w:r>
        <w:t>dtca_zero</w:t>
      </w:r>
      <w:proofErr w:type="spellEnd"/>
      <w:r>
        <w:t xml:space="preserve"> regime indicator.</w:t>
      </w:r>
    </w:p>
    <w:p w14:paraId="0CE7BC97" w14:textId="77777777" w:rsidR="00FC25FA" w:rsidRDefault="00000000">
      <w:pPr>
        <w:spacing w:after="40" w:line="252" w:lineRule="auto"/>
      </w:pPr>
      <w:r>
        <w:rPr>
          <w:b/>
          <w:bCs/>
        </w:rPr>
        <w:t xml:space="preserve">Phase 2, Machine Learning: </w:t>
      </w:r>
      <w:r>
        <w:t>Gradient boosting, random forest, regularized regression for nonlinearities and interactions.</w:t>
      </w:r>
    </w:p>
    <w:p w14:paraId="313AAFEB" w14:textId="77777777" w:rsidR="00FC25FA" w:rsidRDefault="00000000">
      <w:pPr>
        <w:spacing w:after="60" w:line="252" w:lineRule="auto"/>
      </w:pPr>
      <w:r>
        <w:rPr>
          <w:b/>
          <w:bCs/>
        </w:rPr>
        <w:t xml:space="preserve">Phase 3, Robustness: </w:t>
      </w:r>
      <w:r>
        <w:t>Time-based split (Train 2013-2021, Val 2022-2023, Test 2024). Exclusion tests for Lipitor, Lexapro, Nexium.</w:t>
      </w:r>
    </w:p>
    <w:sectPr w:rsidR="00FC25FA">
      <w:headerReference w:type="default" r:id="rId7"/>
      <w:footerReference w:type="default" r:id="rId8"/>
      <w:pgSz w:w="12240" w:h="15840"/>
      <w:pgMar w:top="960" w:right="1080" w:bottom="7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A0FD" w14:textId="77777777" w:rsidR="00AD6FD8" w:rsidRDefault="00AD6FD8">
      <w:r>
        <w:separator/>
      </w:r>
    </w:p>
  </w:endnote>
  <w:endnote w:type="continuationSeparator" w:id="0">
    <w:p w14:paraId="6AC9C9F7" w14:textId="77777777" w:rsidR="00AD6FD8" w:rsidRDefault="00AD6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E0A" w14:textId="77777777" w:rsidR="00FC25FA" w:rsidRDefault="00000000">
    <w:pPr>
      <w:jc w:val="center"/>
    </w:pPr>
    <w:r>
      <w:rPr>
        <w:color w:val="999999"/>
        <w:sz w:val="14"/>
        <w:szCs w:val="14"/>
      </w:rPr>
      <w:t xml:space="preserve">Rx Drug MMIX, EDA Findings </w:t>
    </w:r>
    <w:proofErr w:type="gramStart"/>
    <w:r>
      <w:rPr>
        <w:color w:val="999999"/>
        <w:sz w:val="14"/>
        <w:szCs w:val="14"/>
      </w:rPr>
      <w:t>Memo  |</w:t>
    </w:r>
    <w:proofErr w:type="gramEnd"/>
    <w:r>
      <w:rPr>
        <w:color w:val="999999"/>
        <w:sz w:val="14"/>
        <w:szCs w:val="14"/>
      </w:rPr>
      <w:t xml:space="preserve">  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964C7F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964C7F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F0AC9" w14:textId="77777777" w:rsidR="00AD6FD8" w:rsidRDefault="00AD6FD8">
      <w:r>
        <w:separator/>
      </w:r>
    </w:p>
  </w:footnote>
  <w:footnote w:type="continuationSeparator" w:id="0">
    <w:p w14:paraId="268830EC" w14:textId="77777777" w:rsidR="00AD6FD8" w:rsidRDefault="00AD6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0DFB" w14:textId="77777777" w:rsidR="00FC25FA" w:rsidRDefault="00000000">
    <w:pPr>
      <w:jc w:val="right"/>
    </w:pPr>
    <w:r>
      <w:rPr>
        <w:i/>
        <w:iCs/>
        <w:color w:val="999999"/>
        <w:sz w:val="14"/>
        <w:szCs w:val="14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39E"/>
    <w:multiLevelType w:val="hybridMultilevel"/>
    <w:tmpl w:val="C3344440"/>
    <w:lvl w:ilvl="0" w:tplc="7EFCF60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3735F"/>
    <w:multiLevelType w:val="hybridMultilevel"/>
    <w:tmpl w:val="B1B6422E"/>
    <w:lvl w:ilvl="0" w:tplc="60A86EF4">
      <w:start w:val="1"/>
      <w:numFmt w:val="bullet"/>
      <w:lvlText w:val="●"/>
      <w:lvlJc w:val="left"/>
      <w:pPr>
        <w:ind w:left="720" w:hanging="360"/>
      </w:pPr>
    </w:lvl>
    <w:lvl w:ilvl="1" w:tplc="E620087C">
      <w:start w:val="1"/>
      <w:numFmt w:val="bullet"/>
      <w:lvlText w:val="○"/>
      <w:lvlJc w:val="left"/>
      <w:pPr>
        <w:ind w:left="1440" w:hanging="360"/>
      </w:pPr>
    </w:lvl>
    <w:lvl w:ilvl="2" w:tplc="FA0AD8F4">
      <w:start w:val="1"/>
      <w:numFmt w:val="bullet"/>
      <w:lvlText w:val="■"/>
      <w:lvlJc w:val="left"/>
      <w:pPr>
        <w:ind w:left="2160" w:hanging="360"/>
      </w:pPr>
    </w:lvl>
    <w:lvl w:ilvl="3" w:tplc="A6A200EC">
      <w:start w:val="1"/>
      <w:numFmt w:val="bullet"/>
      <w:lvlText w:val="●"/>
      <w:lvlJc w:val="left"/>
      <w:pPr>
        <w:ind w:left="2880" w:hanging="360"/>
      </w:pPr>
    </w:lvl>
    <w:lvl w:ilvl="4" w:tplc="9C887C64">
      <w:start w:val="1"/>
      <w:numFmt w:val="bullet"/>
      <w:lvlText w:val="○"/>
      <w:lvlJc w:val="left"/>
      <w:pPr>
        <w:ind w:left="3600" w:hanging="360"/>
      </w:pPr>
    </w:lvl>
    <w:lvl w:ilvl="5" w:tplc="ABC67242">
      <w:start w:val="1"/>
      <w:numFmt w:val="bullet"/>
      <w:lvlText w:val="■"/>
      <w:lvlJc w:val="left"/>
      <w:pPr>
        <w:ind w:left="4320" w:hanging="360"/>
      </w:pPr>
    </w:lvl>
    <w:lvl w:ilvl="6" w:tplc="C0527BEC">
      <w:start w:val="1"/>
      <w:numFmt w:val="bullet"/>
      <w:lvlText w:val="●"/>
      <w:lvlJc w:val="left"/>
      <w:pPr>
        <w:ind w:left="5040" w:hanging="360"/>
      </w:pPr>
    </w:lvl>
    <w:lvl w:ilvl="7" w:tplc="71D2124C">
      <w:start w:val="1"/>
      <w:numFmt w:val="bullet"/>
      <w:lvlText w:val="●"/>
      <w:lvlJc w:val="left"/>
      <w:pPr>
        <w:ind w:left="5760" w:hanging="360"/>
      </w:pPr>
    </w:lvl>
    <w:lvl w:ilvl="8" w:tplc="5EEE6160">
      <w:start w:val="1"/>
      <w:numFmt w:val="bullet"/>
      <w:lvlText w:val="●"/>
      <w:lvlJc w:val="left"/>
      <w:pPr>
        <w:ind w:left="6480" w:hanging="360"/>
      </w:pPr>
    </w:lvl>
  </w:abstractNum>
  <w:num w:numId="1" w16cid:durableId="1883205947">
    <w:abstractNumId w:val="1"/>
    <w:lvlOverride w:ilvl="0">
      <w:startOverride w:val="1"/>
    </w:lvlOverride>
  </w:num>
  <w:num w:numId="2" w16cid:durableId="8685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5FA"/>
    <w:rsid w:val="00625310"/>
    <w:rsid w:val="00964C7F"/>
    <w:rsid w:val="00AD6FD8"/>
    <w:rsid w:val="00FC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67F03"/>
  <w15:docId w15:val="{9911528E-F7BA-2F4E-AC2F-44037265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40" w:after="40"/>
      <w:outlineLvl w:val="0"/>
    </w:pPr>
    <w:rPr>
      <w:b/>
      <w:bCs/>
      <w:color w:val="1F3864"/>
      <w:sz w:val="23"/>
      <w:szCs w:val="23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color w:val="1F3864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574</Words>
  <Characters>3674</Characters>
  <Application>Microsoft Office Word</Application>
  <DocSecurity>0</DocSecurity>
  <Lines>69</Lines>
  <Paragraphs>48</Paragraphs>
  <ScaleCrop>false</ScaleCrop>
  <Company>Plural Technology Inc</Company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Deenu Gengiti</cp:lastModifiedBy>
  <cp:revision>2</cp:revision>
  <dcterms:created xsi:type="dcterms:W3CDTF">2026-03-24T05:05:00Z</dcterms:created>
  <dcterms:modified xsi:type="dcterms:W3CDTF">2026-03-24T05:09:00Z</dcterms:modified>
</cp:coreProperties>
</file>