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32F7D" w14:textId="1A687972" w:rsidR="00332C71" w:rsidRPr="0005353C" w:rsidRDefault="0005353C" w:rsidP="0005353C">
      <w:pPr>
        <w:pStyle w:val="Heading2"/>
        <w:ind w:left="1440" w:firstLine="720"/>
        <w:rPr>
          <w:color w:val="auto"/>
        </w:rPr>
      </w:pPr>
      <w:r w:rsidRPr="0005353C">
        <w:rPr>
          <w:color w:val="auto"/>
        </w:rPr>
        <w:t>BUSINESS INSIGHTS &amp; RECOMMENDATIONS</w:t>
      </w:r>
    </w:p>
    <w:p w14:paraId="3507C78E" w14:textId="77777777" w:rsidR="0005353C" w:rsidRPr="0005353C" w:rsidRDefault="0005353C" w:rsidP="0005353C"/>
    <w:p w14:paraId="3C292297" w14:textId="77777777" w:rsidR="0005353C" w:rsidRPr="0005353C" w:rsidRDefault="0005353C" w:rsidP="0005353C">
      <w:pPr>
        <w:pStyle w:val="Heading2"/>
        <w:pBdr>
          <w:bottom w:val="single" w:sz="4" w:space="1" w:color="auto"/>
        </w:pBdr>
        <w:rPr>
          <w:b/>
          <w:bCs/>
          <w:color w:val="auto"/>
        </w:rPr>
      </w:pPr>
      <w:r w:rsidRPr="0005353C">
        <w:rPr>
          <w:b/>
          <w:bCs/>
          <w:color w:val="auto"/>
        </w:rPr>
        <w:t>Insight 1: Furniture is under-converting sales into profit</w:t>
      </w:r>
    </w:p>
    <w:p w14:paraId="3216D326" w14:textId="2C0ADBBD" w:rsidR="0005353C" w:rsidRDefault="0005353C" w:rsidP="0005353C">
      <w:pPr>
        <w:spacing w:after="100" w:line="270" w:lineRule="auto"/>
      </w:pPr>
      <w:r>
        <w:t>Furniture generates $4.11M in sale</w:t>
      </w:r>
      <w:r>
        <w:t xml:space="preserve">s </w:t>
      </w:r>
      <w:r>
        <w:t>but produces only $0.29M in profit, a conversion rate of roughly 7%, versus 14% for both Technology and Office Supp</w:t>
      </w:r>
      <w:r>
        <w:t xml:space="preserve">lies. </w:t>
      </w:r>
      <w:r>
        <w:t>The gap is concentrated in one sub-category, Tables, which posts the largest net loss in the entire dataset.</w:t>
      </w:r>
    </w:p>
    <w:p w14:paraId="1025CDF4" w14:textId="584654D7" w:rsidR="0005353C" w:rsidRDefault="0005353C" w:rsidP="0005353C">
      <w:pPr>
        <w:pStyle w:val="Heading4"/>
      </w:pPr>
      <w:r>
        <w:t>Recommendation</w:t>
      </w:r>
    </w:p>
    <w:p w14:paraId="30AF30D9" w14:textId="379CA9AB" w:rsidR="0005353C" w:rsidRDefault="0005353C" w:rsidP="0005353C">
      <w:pPr>
        <w:spacing w:after="100" w:line="270" w:lineRule="auto"/>
      </w:pPr>
      <w:r>
        <w:t>Review Tables' pricing and discount-approval thresholds specifically, rather than adjusting Furniture category-wide. Bookcases and Chairs are already profitable and should not be affected by any pricing correction aimed at Tables.</w:t>
      </w:r>
    </w:p>
    <w:p w14:paraId="4BF1B8B7" w14:textId="77777777" w:rsidR="0005353C" w:rsidRPr="0005353C" w:rsidRDefault="0005353C" w:rsidP="0005353C">
      <w:pPr>
        <w:pStyle w:val="Heading2"/>
        <w:pBdr>
          <w:bottom w:val="single" w:sz="4" w:space="1" w:color="auto"/>
        </w:pBdr>
        <w:rPr>
          <w:b/>
          <w:bCs/>
          <w:color w:val="auto"/>
        </w:rPr>
      </w:pPr>
      <w:r w:rsidRPr="0005353C">
        <w:rPr>
          <w:b/>
          <w:bCs/>
          <w:color w:val="auto"/>
        </w:rPr>
        <w:t>Insight 2: Four sub-categories are actively losing money, not just underperforming</w:t>
      </w:r>
    </w:p>
    <w:p w14:paraId="1348340D" w14:textId="20E5B27E" w:rsidR="0005353C" w:rsidRDefault="0005353C" w:rsidP="0005353C">
      <w:pPr>
        <w:spacing w:after="100" w:line="270" w:lineRule="auto"/>
      </w:pPr>
      <w:r>
        <w:t>Tables, Fasteners, Labels, and Supplies each show negative total profit</w:t>
      </w:r>
      <w:r>
        <w:t>, m</w:t>
      </w:r>
      <w:r>
        <w:t>eaning average selling price is below fulfilment cost after discounting, not merely a thin margin.</w:t>
      </w:r>
    </w:p>
    <w:p w14:paraId="7AFC2D61" w14:textId="77777777" w:rsidR="0005353C" w:rsidRDefault="0005353C" w:rsidP="0005353C">
      <w:pPr>
        <w:pStyle w:val="Heading4"/>
      </w:pPr>
      <w:r>
        <w:t>Recommendation</w:t>
      </w:r>
    </w:p>
    <w:p w14:paraId="5CC8D98C" w14:textId="13BAA943" w:rsidR="0005353C" w:rsidRDefault="0005353C" w:rsidP="0005353C">
      <w:pPr>
        <w:spacing w:after="100" w:line="270" w:lineRule="auto"/>
      </w:pPr>
      <w:r>
        <w:t>Introduce a minimum-margin or maximum-discount rule at the sub-category level for these four products specifically, and monitor the Loss-Making Orders measure monthly to confirm the fix is working rather than assuming a one-time price change resolves it.</w:t>
      </w:r>
    </w:p>
    <w:p w14:paraId="204EBE02" w14:textId="77777777" w:rsidR="0005353C" w:rsidRPr="0005353C" w:rsidRDefault="0005353C" w:rsidP="0005353C">
      <w:pPr>
        <w:pStyle w:val="Heading2"/>
        <w:pBdr>
          <w:bottom w:val="single" w:sz="4" w:space="1" w:color="auto"/>
        </w:pBdr>
        <w:rPr>
          <w:b/>
          <w:bCs/>
          <w:color w:val="auto"/>
        </w:rPr>
      </w:pPr>
      <w:r w:rsidRPr="0005353C">
        <w:rPr>
          <w:b/>
          <w:bCs/>
          <w:color w:val="auto"/>
        </w:rPr>
        <w:t>Insight 3: Central region's profit does not scale with its sales the way North's does</w:t>
      </w:r>
    </w:p>
    <w:p w14:paraId="07DC06A8" w14:textId="7FC34145" w:rsidR="0005353C" w:rsidRDefault="0005353C" w:rsidP="0005353C">
      <w:pPr>
        <w:spacing w:after="100" w:line="270" w:lineRule="auto"/>
      </w:pPr>
      <w:r>
        <w:t>Central leads all regions in both sales and profit, but converts a smaller share of its sales into profit than</w:t>
      </w:r>
      <w:r>
        <w:t xml:space="preserve"> the</w:t>
      </w:r>
      <w:r>
        <w:t xml:space="preserve"> North does, despite North having a smaller sales base.</w:t>
      </w:r>
    </w:p>
    <w:p w14:paraId="6A9FFB6F" w14:textId="77777777" w:rsidR="0005353C" w:rsidRDefault="0005353C" w:rsidP="0005353C">
      <w:pPr>
        <w:pStyle w:val="Heading4"/>
      </w:pPr>
      <w:r>
        <w:t>Recommendation</w:t>
      </w:r>
    </w:p>
    <w:p w14:paraId="2C9C4B0C" w14:textId="6EBD2E24" w:rsidR="0005353C" w:rsidRDefault="0005353C" w:rsidP="0005353C">
      <w:pPr>
        <w:spacing w:after="100" w:line="270" w:lineRule="auto"/>
      </w:pPr>
      <w:r>
        <w:t>Before expanding investment in Central purely because it is the top region by sales, confirm whether its weaker profit efficiency is product-mix driven; if so, the fix is the same pricing review as Insight 1, applied regionally.</w:t>
      </w:r>
    </w:p>
    <w:p w14:paraId="02F7DBD6" w14:textId="77777777" w:rsidR="0005353C" w:rsidRPr="0005353C" w:rsidRDefault="0005353C" w:rsidP="0005353C">
      <w:pPr>
        <w:pStyle w:val="Heading2"/>
        <w:pBdr>
          <w:bottom w:val="single" w:sz="4" w:space="1" w:color="auto"/>
        </w:pBdr>
        <w:rPr>
          <w:b/>
          <w:bCs/>
          <w:color w:val="auto"/>
        </w:rPr>
      </w:pPr>
      <w:r w:rsidRPr="0005353C">
        <w:rPr>
          <w:b/>
          <w:bCs/>
          <w:color w:val="auto"/>
        </w:rPr>
        <w:t>Insight 4: Canada and Africa remain marginal markets after four years</w:t>
      </w:r>
    </w:p>
    <w:p w14:paraId="79B9575D" w14:textId="2815CFBA" w:rsidR="0005353C" w:rsidRDefault="0005353C" w:rsidP="0005353C">
      <w:pPr>
        <w:spacing w:after="100" w:line="270" w:lineRule="auto"/>
      </w:pPr>
      <w:r>
        <w:t>APAC ($3.7M) and EU ($3.1M) lead all markets; Canada contributes well under $0.5M, the smallest of any market tracked.</w:t>
      </w:r>
    </w:p>
    <w:p w14:paraId="09949F1D" w14:textId="77777777" w:rsidR="0005353C" w:rsidRDefault="0005353C" w:rsidP="0005353C">
      <w:pPr>
        <w:pStyle w:val="Heading4"/>
      </w:pPr>
      <w:r>
        <w:t>Recommendation</w:t>
      </w:r>
    </w:p>
    <w:p w14:paraId="40DA7B54" w14:textId="331FDEA4" w:rsidR="0005353C" w:rsidRDefault="0005353C" w:rsidP="0005353C">
      <w:pPr>
        <w:spacing w:after="100" w:line="270" w:lineRule="auto"/>
      </w:pPr>
      <w:r>
        <w:t xml:space="preserve">Commission a focused review of Canada and Africa's market conditions before deciding whether to invest further or </w:t>
      </w:r>
      <w:r>
        <w:t>deprioritize</w:t>
      </w:r>
      <w:r>
        <w:t>; continuing to treat them as equal priorities to APAC/EU without a clear growth signal risks spreading resources thin.</w:t>
      </w:r>
    </w:p>
    <w:p w14:paraId="18BA2161" w14:textId="77777777" w:rsidR="0005353C" w:rsidRPr="0005353C" w:rsidRDefault="0005353C" w:rsidP="0005353C">
      <w:pPr>
        <w:pStyle w:val="Heading2"/>
        <w:pBdr>
          <w:bottom w:val="single" w:sz="4" w:space="1" w:color="auto"/>
        </w:pBdr>
        <w:rPr>
          <w:b/>
          <w:bCs/>
          <w:color w:val="auto"/>
        </w:rPr>
      </w:pPr>
      <w:r w:rsidRPr="0005353C">
        <w:rPr>
          <w:b/>
          <w:bCs/>
          <w:color w:val="auto"/>
        </w:rPr>
        <w:t>Insight 5: The customer base is broad and not overly concentrated in a few accounts</w:t>
      </w:r>
    </w:p>
    <w:p w14:paraId="379F543D" w14:textId="442D0693" w:rsidR="0005353C" w:rsidRDefault="0005353C" w:rsidP="0005353C">
      <w:pPr>
        <w:spacing w:after="100" w:line="270" w:lineRule="auto"/>
      </w:pPr>
      <w:r>
        <w:t>The top five customers by sales each contribute only 0.28%–0.32% of total sales, and combined account for just 1.45% of total revenue.</w:t>
      </w:r>
    </w:p>
    <w:p w14:paraId="49D06123" w14:textId="77777777" w:rsidR="0005353C" w:rsidRDefault="0005353C" w:rsidP="0005353C">
      <w:pPr>
        <w:pStyle w:val="Heading4"/>
      </w:pPr>
      <w:r>
        <w:t>Recommendation</w:t>
      </w:r>
    </w:p>
    <w:p w14:paraId="2F5C65DB" w14:textId="3F1161A5" w:rsidR="0005353C" w:rsidRDefault="0005353C" w:rsidP="0005353C">
      <w:pPr>
        <w:spacing w:after="100" w:line="270" w:lineRule="auto"/>
      </w:pPr>
      <w:r>
        <w:t xml:space="preserve">This is a structural strength, not a problem to fix </w:t>
      </w:r>
      <w:r>
        <w:t xml:space="preserve">because </w:t>
      </w:r>
      <w:r>
        <w:t xml:space="preserve">the business is not exposed to the loss of any single customer. Retention efforts and loyalty </w:t>
      </w:r>
      <w:r>
        <w:t>programs</w:t>
      </w:r>
      <w:r>
        <w:t xml:space="preserve"> are better targeted at growing average order value across the broad base rather than defending a small set of key accounts.</w:t>
      </w:r>
    </w:p>
    <w:p w14:paraId="008CF109" w14:textId="77777777" w:rsidR="0005353C" w:rsidRDefault="0005353C"/>
    <w:sectPr w:rsidR="00053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3C"/>
    <w:rsid w:val="0005353C"/>
    <w:rsid w:val="0033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D36F"/>
  <w15:chartTrackingRefBased/>
  <w15:docId w15:val="{0656FC6A-C7BD-4D42-BAE2-040949E0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5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5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35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35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35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535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</dc:creator>
  <cp:keywords/>
  <dc:description/>
  <cp:lastModifiedBy>Dee</cp:lastModifiedBy>
  <cp:revision>1</cp:revision>
  <dcterms:created xsi:type="dcterms:W3CDTF">2026-08-19T19:16:00Z</dcterms:created>
  <dcterms:modified xsi:type="dcterms:W3CDTF">2026-08-19T19:23:00Z</dcterms:modified>
</cp:coreProperties>
</file>