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DD628">
      <w:pPr>
        <w:spacing w:after="40"/>
        <w:jc w:val="both"/>
        <w:rPr>
          <w:sz w:val="32"/>
          <w:szCs w:val="32"/>
        </w:rPr>
      </w:pPr>
      <w:r>
        <w:rPr>
          <w:rFonts w:ascii="Calibri" w:hAnsi="Calibri" w:eastAsia="Calibri" w:cs="Calibri"/>
          <w:b/>
          <w:bCs/>
          <w:sz w:val="32"/>
          <w:szCs w:val="32"/>
        </w:rPr>
        <w:t>Architectural Justification</w:t>
      </w:r>
    </w:p>
    <w:p w14:paraId="6BF1C560">
      <w:pPr>
        <w:spacing w:after="40"/>
        <w:jc w:val="both"/>
        <w:rPr>
          <w:b/>
          <w:bCs/>
        </w:rPr>
      </w:pPr>
      <w:r>
        <w:rPr>
          <w:rFonts w:ascii="Calibri" w:hAnsi="Calibri" w:eastAsia="Calibri" w:cs="Calibri"/>
          <w:b/>
          <w:bCs/>
          <w:sz w:val="20"/>
          <w:szCs w:val="20"/>
        </w:rPr>
        <w:t xml:space="preserve">Clinical Trial Subject Recruitment Engine </w:t>
      </w:r>
    </w:p>
    <w:p w14:paraId="50F51F34">
      <w:pPr>
        <w:spacing w:after="160"/>
        <w:jc w:val="both"/>
        <w:rPr>
          <w:b/>
          <w:bCs/>
        </w:rPr>
      </w:pPr>
      <w:r>
        <w:rPr>
          <w:rFonts w:hint="default" w:cs="Calibri"/>
          <w:b/>
          <w:bCs/>
          <w:sz w:val="17"/>
          <w:szCs w:val="17"/>
          <w:lang w:val="en-IN"/>
        </w:rPr>
        <w:t xml:space="preserve">Name: </w:t>
      </w:r>
      <w:r>
        <w:rPr>
          <w:rFonts w:ascii="Calibri" w:hAnsi="Calibri" w:eastAsia="Calibri" w:cs="Calibri"/>
          <w:b/>
          <w:bCs/>
          <w:sz w:val="17"/>
          <w:szCs w:val="17"/>
        </w:rPr>
        <w:t xml:space="preserve">Deeptha S </w:t>
      </w:r>
      <w:r>
        <w:rPr>
          <w:rFonts w:hint="default" w:cs="Calibri"/>
          <w:b/>
          <w:bCs/>
          <w:sz w:val="17"/>
          <w:szCs w:val="17"/>
          <w:lang w:val="en-IN"/>
        </w:rPr>
        <w:t xml:space="preserve">, </w:t>
      </w:r>
      <w:bookmarkStart w:id="0" w:name="_GoBack"/>
      <w:bookmarkEnd w:id="0"/>
      <w:r>
        <w:rPr>
          <w:rFonts w:ascii="Calibri" w:hAnsi="Calibri" w:eastAsia="Calibri" w:cs="Calibri"/>
          <w:b/>
          <w:bCs/>
          <w:sz w:val="17"/>
          <w:szCs w:val="17"/>
        </w:rPr>
        <w:t xml:space="preserve"> </w:t>
      </w:r>
      <w:r>
        <w:rPr>
          <w:rFonts w:hint="default" w:cs="Calibri"/>
          <w:b/>
          <w:bCs/>
          <w:sz w:val="17"/>
          <w:szCs w:val="17"/>
          <w:lang w:val="en-IN"/>
        </w:rPr>
        <w:t xml:space="preserve">SRN: </w:t>
      </w:r>
      <w:r>
        <w:rPr>
          <w:rFonts w:ascii="Calibri" w:hAnsi="Calibri" w:eastAsia="Calibri" w:cs="Calibri"/>
          <w:b/>
          <w:bCs/>
          <w:sz w:val="17"/>
          <w:szCs w:val="17"/>
        </w:rPr>
        <w:t xml:space="preserve">PES1UG24CS144 </w:t>
      </w:r>
    </w:p>
    <w:p w14:paraId="1FB245EA">
      <w:pPr>
        <w:spacing w:before="140" w:after="60"/>
      </w:pPr>
      <w:r>
        <w:rPr>
          <w:rFonts w:ascii="Calibri" w:hAnsi="Calibri" w:eastAsia="Calibri" w:cs="Calibri"/>
          <w:b/>
          <w:bCs/>
          <w:sz w:val="22"/>
          <w:szCs w:val="22"/>
        </w:rPr>
        <w:t>Architecture Selection</w:t>
      </w:r>
    </w:p>
    <w:p w14:paraId="457B4A7D">
      <w:pPr>
        <w:spacing w:after="100"/>
        <w:jc w:val="both"/>
      </w:pPr>
      <w:r>
        <w:rPr>
          <w:rFonts w:ascii="Calibri" w:hAnsi="Calibri" w:eastAsia="Calibri" w:cs="Calibri"/>
        </w:rPr>
        <w:t xml:space="preserve">We chose the </w:t>
      </w:r>
      <w:r>
        <w:rPr>
          <w:rFonts w:ascii="Calibri" w:hAnsi="Calibri" w:eastAsia="Calibri" w:cs="Calibri"/>
          <w:b/>
          <w:bCs/>
        </w:rPr>
        <w:t>Layered (3-Tier) Architecture</w:t>
      </w:r>
      <w:r>
        <w:rPr>
          <w:rFonts w:ascii="Calibri" w:hAnsi="Calibri" w:eastAsia="Calibri" w:cs="Calibri"/>
        </w:rPr>
        <w:t xml:space="preserve"> for the Clinical Trial Subject Recruitment Engine, organised as a Presentation Layer (Candidate Portal, Researcher Console), a Business Logic Layer (Eligibility Screening, Consent Management, Visit Compliance, Notification Gateway, Recruitment Reporting) and a Data &amp; Compliance Layer (Trial Data Repository, Audit &amp; Compliance Logger). Microservices were rejected because splitting consent, eligibility and visit records across independent data stores makes a single tamper-evident audit trail and cross-entity transactions far harder to guarantee, at an operational cost a single research institution does not need. Plain client-server was rejected because it would push protocol rules into the client, so every protocol amendment would require redeploying the candidate-facing application.</w:t>
      </w:r>
    </w:p>
    <w:p w14:paraId="72430B84">
      <w:pPr>
        <w:spacing w:before="140" w:after="60"/>
      </w:pPr>
      <w:r>
        <w:rPr>
          <w:rFonts w:ascii="Calibri" w:hAnsi="Calibri" w:eastAsia="Calibri" w:cs="Calibri"/>
          <w:b/>
          <w:bCs/>
          <w:sz w:val="22"/>
          <w:szCs w:val="22"/>
        </w:rPr>
        <w:t>Reason 1 – Protocol criteria change far more often than the UI or the schema</w:t>
      </w:r>
    </w:p>
    <w:p w14:paraId="475FF201">
      <w:pPr>
        <w:spacing w:after="100"/>
        <w:jc w:val="both"/>
      </w:pPr>
      <w:r>
        <w:rPr>
          <w:rFonts w:ascii="Calibri" w:hAnsi="Calibri" w:eastAsia="Calibri" w:cs="Calibri"/>
        </w:rPr>
        <w:t>Inclusion/exclusion criteria are amended repeatedly over a trial's life. Isolating them inside the Eligibility Screening Component means an amendment is a change to one component behind the IEligibilityScreening and IProtocolAdmin interfaces; the Candidate Portal and the database schema are untouched. This directly supports FR-001 (evaluate responses against protocol criteria) while keeping regression testing scoped to one layer.</w:t>
      </w:r>
    </w:p>
    <w:p w14:paraId="4E48C3FA">
      <w:pPr>
        <w:spacing w:before="140" w:after="60"/>
      </w:pPr>
      <w:r>
        <w:rPr>
          <w:rFonts w:ascii="Calibri" w:hAnsi="Calibri" w:eastAsia="Calibri" w:cs="Calibri"/>
          <w:b/>
          <w:bCs/>
          <w:sz w:val="22"/>
          <w:szCs w:val="22"/>
        </w:rPr>
        <w:t>Reason 2 – Two very different user groups must share one set of rules</w:t>
      </w:r>
    </w:p>
    <w:p w14:paraId="0748CB71">
      <w:pPr>
        <w:spacing w:after="100"/>
        <w:jc w:val="both"/>
      </w:pPr>
      <w:r>
        <w:rPr>
          <w:rFonts w:ascii="Calibri" w:hAnsi="Calibri" w:eastAsia="Calibri" w:cs="Calibri"/>
        </w:rPr>
        <w:t>Trial Candidates and Clinical Researchers need entirely different interfaces but must not get different screening outcomes. Layering lets both presentation components reuse the identical business components, so an eligibility decision, a consent milestone or a visit log is computed the same way regardless of who triggered it — a correctness requirement in a regulated recruitment workflow.</w:t>
      </w:r>
    </w:p>
    <w:p w14:paraId="59F8116E">
      <w:pPr>
        <w:spacing w:before="140" w:after="60"/>
      </w:pPr>
      <w:r>
        <w:rPr>
          <w:rFonts w:ascii="Calibri" w:hAnsi="Calibri" w:eastAsia="Calibri" w:cs="Calibri"/>
          <w:b/>
          <w:bCs/>
          <w:sz w:val="22"/>
          <w:szCs w:val="22"/>
        </w:rPr>
        <w:t>Security Advantage</w:t>
      </w:r>
    </w:p>
    <w:p w14:paraId="5C284DA4">
      <w:pPr>
        <w:spacing w:after="100"/>
        <w:jc w:val="both"/>
      </w:pPr>
      <w:r>
        <w:rPr>
          <w:rFonts w:ascii="Calibri" w:hAnsi="Calibri" w:eastAsia="Calibri" w:cs="Calibri"/>
        </w:rPr>
        <w:t>The layering enforces a single controlled data path. No presentation component holds a required interface into the Data &amp; Compliance Layer, so patient-idntifiable data never leaves the lower layers except as the specific results the business interfaces return. More importantly, the Trial Data Repository is the only component that touches storage, and it in turn requires IAuditLog from the Audit &amp; Compliance Logger — so no business component can create or modify a subject record without a cryptographic audit entry being written. Compliance with 21 CFR Part 11 (NFR-001) becomes a structural property of the architecture rather than something each developer must remember to call.</w:t>
      </w:r>
    </w:p>
    <w:p w14:paraId="4A73C4C0">
      <w:pPr>
        <w:spacing w:before="140" w:after="60"/>
      </w:pPr>
      <w:r>
        <w:rPr>
          <w:rFonts w:ascii="Calibri" w:hAnsi="Calibri" w:eastAsia="Calibri" w:cs="Calibri"/>
          <w:b/>
          <w:bCs/>
          <w:sz w:val="22"/>
          <w:szCs w:val="22"/>
        </w:rPr>
        <w:t>Performance Benefit</w:t>
      </w:r>
    </w:p>
    <w:p w14:paraId="33EA88F3">
      <w:pPr>
        <w:spacing w:after="160"/>
        <w:jc w:val="both"/>
      </w:pPr>
      <w:r>
        <w:rPr>
          <w:rFonts w:ascii="Calibri" w:hAnsi="Calibri" w:eastAsia="Calibri" w:cs="Calibri"/>
        </w:rPr>
        <w:t>Because the Business Logic Layer is stateless and physically separate, active protocol criteria can be cached in memory in the Eligibility Screening Component, turning a screening evaluation into one repository read instead of several criteria lookups per candidate. The business tier can also be replicated behind a load balancer during a recruitm</w:t>
      </w:r>
      <w:r>
        <w:rPr>
          <w:rFonts w:hint="default" w:cs="Calibri"/>
          <w:lang w:val="en-IN"/>
        </w:rPr>
        <w:t>m</w:t>
      </w:r>
      <w:r>
        <w:rPr>
          <w:rFonts w:ascii="Calibri" w:hAnsi="Calibri" w:eastAsia="Calibri" w:cs="Calibri"/>
        </w:rPr>
        <w:t>ent drive without changing the UI or the database, and analytics traffic is routed through the read-only IQueryService so that reporting queries do not bock live screening transations —which is what allows the target latency under peak load in NFR-002 to be met.</w:t>
      </w:r>
    </w:p>
    <w:sectPr>
      <w:pgSz w:w="11906" w:h="16838"/>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isplayBackgroundShape w:val="1"/>
  <w:documentProtection w:enforcement="0"/>
  <w:compat>
    <w:compatSetting w:name="compatibilityMode" w:uri="http://schemas.microsoft.com/office/word" w:val="15"/>
  </w:compat>
  <w:rsids>
    <w:rsidRoot w:val="00000000"/>
    <w:rsid w:val="0AB6351E"/>
    <w:rsid w:val="1ADF5B23"/>
    <w:rsid w:val="2AAD0B04"/>
    <w:rsid w:val="2AB46C99"/>
    <w:rsid w:val="680A36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556</Words>
  <Characters>3551</Characters>
  <TotalTime>6</TotalTime>
  <ScaleCrop>false</ScaleCrop>
  <LinksUpToDate>false</LinksUpToDate>
  <CharactersWithSpaces>4059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2026-09-10T03:58:00Z</dcterms:created>
  <dc:creator>Un-named</dc:creator>
  <cp:lastModifiedBy>Vmin Kook</cp:lastModifiedBy>
  <dcterms:modified xsi:type="dcterms:W3CDTF">2026-09-10T14:17:09Z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eyJoZGlkIjoiYzhmMWNkYWRlMTcyMzNiNzc5NjA2ZmNjY2EwZmE5NGMiLCJ1c2VySWQiOiI1Njc1MTUwOTE2NTYifQ==</vt:lpwstr>
  </property>
  <property fmtid="{D5CDD505-2E9C-101B-9397-08002B2CF9AE}" pid="3" name="KSOProductBuildVer">
    <vt:lpwstr>1033-12.1.0.28485</vt:lpwstr>
  </property>
  <property fmtid="{D5CDD505-2E9C-101B-9397-08002B2CF9AE}" pid="4" name="ICV">
    <vt:lpwstr>69B89069C5ED4CEF87D055F887E3CDF3_13</vt:lpwstr>
  </property>
</Properties>
</file>