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0abf1144f6704d798e941c00d98e1e1f.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 Id="Rc350f1fae1714eac" Type="http://schemas.openxmlformats.org/officeDocument/2006/relationships/extended-properties" Target="docProps/app.xml"/><Relationship Id="Rf19568df4e2d4649" Type="http://schemas.openxmlformats.org/package/2006/relationships/metadata/core-properties" Target="package/services/metadata/core-properties/0abf1144f6704d798e941c00d98e1e1f.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jc w:val="center"/>
      </w:pPr>
      <w:r>
        <w:rPr>
          <w:b/>
          <w:sz w:val="40"/>
        </w:rPr>
        <w:t>Software Test Plan (STP)</w:t>
      </w:r>
    </w:p>
    <w:p>
      <w:pPr>
        <w:jc w:val="center"/>
      </w:pPr>
      <w:r>
        <w:rPr>
          <w:b/>
          <w:sz w:val="22"/>
        </w:rPr>
        <w:t>Project: Online Bookstore</w:t>
      </w:r>
    </w:p>
    <w:p>
      <w:pPr>
        <w:jc w:val="center"/>
      </w:pPr>
      <w:r>
        <w:rPr>
          <w:b/>
          <w:sz w:val="22"/>
        </w:rPr>
        <w:t>Version: 1.0</w:t>
      </w:r>
    </w:p>
    <w:p>
      <w:pPr>
        <w:jc w:val="center"/>
      </w:pPr>
      <w:r>
        <w:rPr>
          <w:sz w:val="22"/>
        </w:rPr>
        <w:t>Authors: Group 2</w:t>
      </w:r>
    </w:p>
    <w:p>
      <w:pPr>
        <w:jc w:val="center"/>
      </w:pPr>
      <w:r>
        <w:rPr>
          <w:sz w:val="22"/>
        </w:rPr>
        <w:t>Date: 05-10-2026</w:t>
      </w:r>
    </w:p>
    <w:p>
      <w:pPr>
        <w:jc w:val="center"/>
      </w:pPr>
      <w:r>
        <w:rPr>
          <w:sz w:val="22"/>
        </w:rPr>
        <w:t>Status: Draft for Mini-Project Deliverable 1</w:t>
      </w:r>
    </w:p>
    <w:p>
      <w:pPr>
        <w:spacing w:after="100" w:line="259" w:lineRule="auto"/>
      </w:pPr>
      <w:r>
        <w:t>A multi-seller e-commerce platform for buying and selling new and second-hand books.</w:t>
      </w:r>
    </w:p>
    <w:p>
      <w:pPr>
        <w:jc w:val="center"/>
      </w:pPr>
      <w:r>
        <w:rPr>
          <w:i/>
          <w:sz w:val="18"/>
        </w:rPr>
        <w:t>PES University, Bengaluru | UE24CS341A - Software Engineering | Semester V</w:t>
      </w:r>
    </w:p>
    <w:p>
      <w:r>
        <w:br w:type="page"/>
      </w:r>
    </w:p>
    <w:p>
      <w:pPr>
        <w:spacing w:before="160" w:after="80"/>
      </w:pPr>
      <w:r>
        <w:rPr>
          <w:rFonts w:ascii="Calibri" w:hAnsi="Calibri"/>
          <w:b/>
          <w:sz w:val="28"/>
        </w:rPr>
        <w:t>Revision History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4"/>
        <w:gridCol w:w="2484"/>
        <w:gridCol w:w="2484"/>
        <w:gridCol w:w="2484"/>
      </w:tblGrid>
      <w:tr>
        <w:tc>
          <w:tcPr>
            <w:tcW w:type="dxa" w:w="2484"/>
            <w:vAlign w:val="center"/>
            <w:shd w:fill="D9EAF7"/>
          </w:tcPr>
          <w:p>
            <w:pPr>
              <w:spacing w:after="0"/>
            </w:pPr>
            <w:r/>
            <w:r>
              <w:rPr>
                <w:rFonts w:ascii="Calibri" w:hAnsi="Calibri"/>
                <w:b/>
                <w:sz w:val="17"/>
              </w:rPr>
              <w:t>Version</w:t>
            </w:r>
          </w:p>
        </w:tc>
        <w:tc>
          <w:tcPr>
            <w:tcW w:type="dxa" w:w="2484"/>
            <w:vAlign w:val="center"/>
            <w:shd w:fill="D9EAF7"/>
          </w:tcPr>
          <w:p>
            <w:pPr>
              <w:spacing w:after="0"/>
            </w:pPr>
            <w:r/>
            <w:r>
              <w:rPr>
                <w:rFonts w:ascii="Calibri" w:hAnsi="Calibri"/>
                <w:b/>
                <w:sz w:val="17"/>
              </w:rPr>
              <w:t>Date</w:t>
            </w:r>
          </w:p>
        </w:tc>
        <w:tc>
          <w:tcPr>
            <w:tcW w:type="dxa" w:w="2484"/>
            <w:vAlign w:val="center"/>
            <w:shd w:fill="D9EAF7"/>
          </w:tcPr>
          <w:p>
            <w:pPr>
              <w:spacing w:after="0"/>
            </w:pPr>
            <w:r/>
            <w:r>
              <w:rPr>
                <w:rFonts w:ascii="Calibri" w:hAnsi="Calibri"/>
                <w:b/>
                <w:sz w:val="17"/>
              </w:rPr>
              <w:t>Author</w:t>
            </w:r>
          </w:p>
        </w:tc>
        <w:tc>
          <w:tcPr>
            <w:tcW w:type="dxa" w:w="2484"/>
            <w:vAlign w:val="center"/>
            <w:shd w:fill="D9EAF7"/>
          </w:tcPr>
          <w:p>
            <w:pPr>
              <w:spacing w:after="0"/>
            </w:pPr>
            <w:r/>
            <w:r>
              <w:rPr>
                <w:rFonts w:ascii="Calibri" w:hAnsi="Calibri"/>
                <w:b/>
                <w:sz w:val="17"/>
              </w:rPr>
              <w:t>Change Summary</w:t>
            </w:r>
          </w:p>
        </w:tc>
      </w:tr>
      <w:tr>
        <w:tc>
          <w:tcPr>
            <w:tcW w:type="dxa" w:w="2484"/>
            <w:vAlign w:val="center"/>
          </w:tcPr>
          <w:p>
            <w:pPr>
              <w:spacing w:after="0"/>
            </w:pPr>
            <w:r/>
            <w:r>
              <w:rPr>
                <w:rFonts w:ascii="Calibri" w:hAnsi="Calibri"/>
                <w:b w:val="0"/>
                <w:sz w:val="17"/>
              </w:rPr>
              <w:t>0.1</w:t>
            </w:r>
          </w:p>
        </w:tc>
        <w:tc>
          <w:tcPr>
            <w:tcW w:type="dxa" w:w="2484"/>
            <w:vAlign w:val="center"/>
          </w:tcPr>
          <w:p>
            <w:pPr>
              <w:spacing w:after="0"/>
            </w:pPr>
            <w:r/>
            <w:r>
              <w:rPr>
                <w:rFonts w:ascii="Calibri" w:hAnsi="Calibri"/>
                <w:b w:val="0"/>
                <w:sz w:val="17"/>
              </w:rPr>
              <w:t>02-Sep-2026</w:t>
            </w:r>
          </w:p>
        </w:tc>
        <w:tc>
          <w:tcPr>
            <w:tcW w:type="dxa" w:w="2484"/>
            <w:vAlign w:val="center"/>
          </w:tcPr>
          <w:p>
            <w:pPr>
              <w:spacing w:after="0"/>
            </w:pPr>
            <w:r/>
            <w:r>
              <w:rPr>
                <w:rFonts w:ascii="Calibri" w:hAnsi="Calibri"/>
                <w:b w:val="0"/>
                <w:sz w:val="17"/>
              </w:rPr>
              <w:t>Group 2</w:t>
            </w:r>
          </w:p>
        </w:tc>
        <w:tc>
          <w:tcPr>
            <w:tcW w:type="dxa" w:w="2484"/>
            <w:vAlign w:val="center"/>
          </w:tcPr>
          <w:p>
            <w:pPr>
              <w:spacing w:after="0"/>
            </w:pPr>
            <w:r/>
            <w:r>
              <w:rPr>
                <w:rFonts w:ascii="Calibri" w:hAnsi="Calibri"/>
                <w:b w:val="0"/>
                <w:sz w:val="17"/>
              </w:rPr>
              <w:t>Initial test-plan structure adapted from the assigned STP template.</w:t>
            </w:r>
          </w:p>
        </w:tc>
      </w:tr>
      <w:tr>
        <w:tc>
          <w:tcPr>
            <w:tcW w:type="dxa" w:w="2484"/>
            <w:vAlign w:val="center"/>
          </w:tcPr>
          <w:p>
            <w:pPr>
              <w:spacing w:after="0"/>
            </w:pPr>
            <w:r/>
            <w:r>
              <w:rPr>
                <w:rFonts w:ascii="Calibri" w:hAnsi="Calibri"/>
                <w:b w:val="0"/>
                <w:sz w:val="17"/>
              </w:rPr>
              <w:t>0.5</w:t>
            </w:r>
          </w:p>
        </w:tc>
        <w:tc>
          <w:tcPr>
            <w:tcW w:type="dxa" w:w="2484"/>
            <w:vAlign w:val="center"/>
          </w:tcPr>
          <w:p>
            <w:pPr>
              <w:spacing w:after="0"/>
            </w:pPr>
            <w:r/>
            <w:r>
              <w:rPr>
                <w:rFonts w:ascii="Calibri" w:hAnsi="Calibri"/>
                <w:b w:val="0"/>
                <w:sz w:val="17"/>
              </w:rPr>
              <w:t>05-Oct-2026</w:t>
            </w:r>
          </w:p>
        </w:tc>
        <w:tc>
          <w:tcPr>
            <w:tcW w:type="dxa" w:w="2484"/>
            <w:vAlign w:val="center"/>
          </w:tcPr>
          <w:p>
            <w:pPr>
              <w:spacing w:after="0"/>
            </w:pPr>
            <w:r/>
            <w:r>
              <w:rPr>
                <w:rFonts w:ascii="Calibri" w:hAnsi="Calibri"/>
                <w:b w:val="0"/>
                <w:sz w:val="17"/>
              </w:rPr>
              <w:t>Group 2</w:t>
            </w:r>
          </w:p>
        </w:tc>
        <w:tc>
          <w:tcPr>
            <w:tcW w:type="dxa" w:w="2484"/>
            <w:vAlign w:val="center"/>
          </w:tcPr>
          <w:p>
            <w:pPr>
              <w:spacing w:after="0"/>
            </w:pPr>
            <w:r/>
            <w:r>
              <w:rPr>
                <w:rFonts w:ascii="Calibri" w:hAnsi="Calibri"/>
                <w:b w:val="0"/>
                <w:sz w:val="17"/>
              </w:rPr>
              <w:t>Test scope, strategy, security validation, environment, traceability and test cases aligned with Online Bookstore SRS v1.0.</w:t>
            </w:r>
          </w:p>
        </w:tc>
      </w:tr>
      <w:tr>
        <w:tc>
          <w:tcPr>
            <w:tcW w:type="dxa" w:w="2484"/>
            <w:vAlign w:val="center"/>
          </w:tcPr>
          <w:p>
            <w:pPr>
              <w:spacing w:after="0"/>
            </w:pPr>
            <w:r/>
            <w:r>
              <w:rPr>
                <w:rFonts w:ascii="Calibri" w:hAnsi="Calibri"/>
                <w:b w:val="0"/>
                <w:sz w:val="17"/>
              </w:rPr>
              <w:t>1.0</w:t>
            </w:r>
          </w:p>
        </w:tc>
        <w:tc>
          <w:tcPr>
            <w:tcW w:type="dxa" w:w="2484"/>
            <w:vAlign w:val="center"/>
          </w:tcPr>
          <w:p>
            <w:pPr>
              <w:spacing w:after="0"/>
            </w:pPr>
            <w:r/>
            <w:r>
              <w:rPr>
                <w:rFonts w:ascii="Calibri" w:hAnsi="Calibri"/>
                <w:b w:val="0"/>
                <w:sz w:val="17"/>
              </w:rPr>
              <w:t>05-Oct-2026</w:t>
            </w:r>
          </w:p>
        </w:tc>
        <w:tc>
          <w:tcPr>
            <w:tcW w:type="dxa" w:w="2484"/>
            <w:vAlign w:val="center"/>
          </w:tcPr>
          <w:p>
            <w:pPr>
              <w:spacing w:after="0"/>
            </w:pPr>
            <w:r/>
            <w:r>
              <w:rPr>
                <w:rFonts w:ascii="Calibri" w:hAnsi="Calibri"/>
                <w:b w:val="0"/>
                <w:sz w:val="17"/>
              </w:rPr>
              <w:t>Group 2</w:t>
            </w:r>
          </w:p>
        </w:tc>
        <w:tc>
          <w:tcPr>
            <w:tcW w:type="dxa" w:w="2484"/>
            <w:vAlign w:val="center"/>
          </w:tcPr>
          <w:p>
            <w:pPr>
              <w:spacing w:after="0"/>
            </w:pPr>
            <w:r/>
            <w:r>
              <w:rPr>
                <w:rFonts w:ascii="Calibri" w:hAnsi="Calibri"/>
                <w:b w:val="0"/>
                <w:sz w:val="17"/>
              </w:rPr>
              <w:t>Baseline STP prepared for Mini-Project Deliverables Part-1.</w:t>
            </w:r>
          </w:p>
        </w:tc>
      </w:tr>
    </w:tbl>
    <w:p>
      <w:pPr>
        <w:spacing w:after="0"/>
      </w:pPr>
    </w:p>
    <w:p>
      <w:pPr>
        <w:spacing w:before="160" w:after="80"/>
      </w:pPr>
      <w:r>
        <w:rPr>
          <w:rFonts w:ascii="Calibri" w:hAnsi="Calibri"/>
          <w:b/>
          <w:sz w:val="28"/>
        </w:rPr>
        <w:t>1. Introduction</w:t>
      </w:r>
    </w:p>
    <w:p>
      <w:pPr>
        <w:spacing w:after="100" w:line="259" w:lineRule="auto"/>
      </w:pPr>
      <w:r>
        <w:t>Purpose: This Software Test Plan defines the testing objectives, scope, strategy, resources, schedule, responsibilities, risks and traceability for the Online Bookstore version 1.0. It is derived from the approved SRS and is intended to guide functional, non-functional, security and acceptance testing.</w:t>
      </w:r>
    </w:p>
    <w:p>
      <w:pPr>
        <w:spacing w:after="100" w:line="259" w:lineRule="auto"/>
      </w:pPr>
      <w:r>
        <w:t>Scope: Testing covers account and access management; catalogue, search and reviews; cart, wishlist, checkout, payment and orders; seller operations; administrator moderation and reporting; and the performance, security, usability, maintainability and portability requirements stated in the SRS.</w:t>
      </w:r>
    </w:p>
    <w:p>
      <w:pPr>
        <w:spacing w:after="100" w:line="259" w:lineRule="auto"/>
      </w:pPr>
      <w:r>
        <w:t>Out of scope: real-money settlement, physical logistics integration beyond recording courier tracking information, mobile application development, multi-language content, seller-to-seller bulk trade and machine-learning recommendation features, because these are explicitly outside SRS version 1.0 scope.</w:t>
      </w:r>
    </w:p>
    <w:p>
      <w:pPr>
        <w:spacing w:after="100" w:line="259" w:lineRule="auto"/>
      </w:pPr>
      <w:r>
        <w:t>References: Online Bookstore SRS v1.0; Online Bookstore SAD v1.0; SRS Requirement Traceability Matrix; Appendix B field layouts and reports; IEEE Std 830-1998; OWASP Top 10 (2021).</w:t>
      </w:r>
    </w:p>
    <w:p>
      <w:pPr>
        <w:spacing w:after="100" w:line="259" w:lineRule="auto"/>
      </w:pPr>
      <w:r>
        <w:t>Definitions: SRS (Software Requirements Specification), STP (Software Test Plan), RTM (Requirement Traceability Matrix), FR (Functional Requirement), NFR (Non-functional Requirement), JWT (JSON Web Token), RBAC (Role-Based Access Control), OTP (One-Time Password).</w:t>
      </w:r>
    </w:p>
    <w:p>
      <w:pPr>
        <w:spacing w:before="160" w:after="80"/>
      </w:pPr>
      <w:r>
        <w:rPr>
          <w:rFonts w:ascii="Calibri" w:hAnsi="Calibri"/>
          <w:b/>
          <w:sz w:val="28"/>
        </w:rPr>
        <w:t>2. Test Items</w:t>
      </w:r>
    </w:p>
    <w:p>
      <w:pPr>
        <w:spacing w:after="40"/>
        <w:ind w:left="317" w:hanging="202"/>
      </w:pPr>
      <w:r>
        <w:t>• Authentication and user/account module - registration, OTP verification, login/logout, password recovery, profile/address management and RBAC.</w:t>
      </w:r>
    </w:p>
    <w:p>
      <w:pPr>
        <w:spacing w:after="40"/>
        <w:ind w:left="317" w:hanging="202"/>
      </w:pPr>
      <w:r>
        <w:t>• Catalogue and discovery module - catalogue pagination, keyword search, filtering, sorting, book details, reviews and related-title display.</w:t>
      </w:r>
    </w:p>
    <w:p>
      <w:pPr>
        <w:spacing w:after="40"/>
        <w:ind w:left="317" w:hanging="202"/>
      </w:pPr>
      <w:r>
        <w:t>• Cart, wishlist, checkout and order module - cart persistence, quantity validation, checkout revalidation, cancellation and return lifecycle.</w:t>
      </w:r>
    </w:p>
    <w:p>
      <w:pPr>
        <w:spacing w:after="40"/>
        <w:ind w:left="317" w:hanging="202"/>
      </w:pPr>
      <w:r>
        <w:t>• Payment integration - payment intent, signed callback validation, retry handling and idempotent callback processing.</w:t>
      </w:r>
    </w:p>
    <w:p>
      <w:pPr>
        <w:spacing w:after="40"/>
        <w:ind w:left="317" w:hanging="202"/>
      </w:pPr>
      <w:r>
        <w:t>• Seller operations - listing creation/editing, price/MRP validation, inventory, low-stock alerts, dispatch and seller dashboard.</w:t>
      </w:r>
    </w:p>
    <w:p>
      <w:pPr>
        <w:spacing w:after="40"/>
        <w:ind w:left="317" w:hanging="202"/>
      </w:pPr>
      <w:r>
        <w:t>• Administrator operations - moderation, user/listing/review blocking, audit logging and platform analytics/export.</w:t>
      </w:r>
    </w:p>
    <w:p>
      <w:pPr>
        <w:spacing w:after="40"/>
        <w:ind w:left="317" w:hanging="202"/>
      </w:pPr>
      <w:r>
        <w:t>• Notification integration - OTP, order confirmation, invoice and low-stock notifications with retry handling.</w:t>
      </w:r>
    </w:p>
    <w:p>
      <w:pPr>
        <w:spacing w:after="40"/>
        <w:ind w:left="317" w:hanging="202"/>
      </w:pPr>
      <w:r>
        <w:t>• Database and persistence - MongoDB collections, indexes, order-price freezing, ownership and data-integrity rules.</w:t>
      </w:r>
    </w:p>
    <w:p>
      <w:pPr>
        <w:spacing w:after="40"/>
        <w:ind w:left="317" w:hanging="202"/>
      </w:pPr>
      <w:r>
        <w:t>• Redis session/cache behaviour and performance-related caching.</w:t>
      </w:r>
    </w:p>
    <w:p>
      <w:pPr>
        <w:spacing w:after="40"/>
        <w:ind w:left="317" w:hanging="202"/>
      </w:pPr>
      <w:r>
        <w:t>• Responsive React user interface and cross-browser behaviour.</w:t>
      </w:r>
    </w:p>
    <w:p>
      <w:pPr>
        <w:spacing w:before="160" w:after="80"/>
      </w:pPr>
      <w:r>
        <w:rPr>
          <w:rFonts w:ascii="Calibri" w:hAnsi="Calibri"/>
          <w:b/>
          <w:sz w:val="28"/>
        </w:rPr>
        <w:t>3. Features to be Tested</w:t>
      </w:r>
    </w:p>
    <w:p>
      <w:pPr>
        <w:spacing w:after="100" w:line="259" w:lineRule="auto"/>
      </w:pPr>
      <w:r>
        <w:t>The following features are mapped directly to the SRS requirement groups. The detailed test cases in Appendix A provide executable coverage.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6"/>
              </w:rPr>
              <w:t>Requirement group</w:t>
            </w:r>
          </w:p>
        </w:tc>
        <w:tc>
          <w:tcPr>
            <w:tcW w:type="dxa" w:w="4968"/>
            <w:vAlign w:val="center"/>
            <w:shd w:fill="D9EAF7"/>
          </w:tcPr>
          <w:p>
            <w:pPr>
              <w:spacing w:after="0"/>
            </w:pPr>
            <w:r/>
            <w:r>
              <w:rPr>
                <w:rFonts w:ascii="Calibri" w:hAnsi="Calibri"/>
                <w:b/>
                <w:sz w:val="16"/>
              </w:rPr>
              <w:t>Features / test focus</w:t>
            </w:r>
          </w:p>
        </w:tc>
      </w:tr>
      <w:tr>
        <w:tc>
          <w:tcPr>
            <w:tcW w:type="dxa" w:w="4968"/>
            <w:vAlign w:val="center"/>
          </w:tcPr>
          <w:p>
            <w:pPr>
              <w:spacing w:after="0"/>
            </w:pPr>
            <w:r/>
            <w:r>
              <w:rPr>
                <w:rFonts w:ascii="Calibri" w:hAnsi="Calibri"/>
                <w:b w:val="0"/>
                <w:sz w:val="16"/>
              </w:rPr>
              <w:t>FR-01–FR-06</w:t>
            </w:r>
          </w:p>
        </w:tc>
        <w:tc>
          <w:tcPr>
            <w:tcW w:type="dxa" w:w="4968"/>
            <w:vAlign w:val="center"/>
          </w:tcPr>
          <w:p>
            <w:pPr>
              <w:spacing w:after="0"/>
            </w:pPr>
            <w:r/>
            <w:r>
              <w:rPr>
                <w:rFonts w:ascii="Calibri" w:hAnsi="Calibri"/>
                <w:b w:val="0"/>
                <w:sz w:val="16"/>
              </w:rPr>
              <w:t>Registration, OTP, authentication, password recovery, profile/address management and RBAC.</w:t>
            </w:r>
          </w:p>
        </w:tc>
      </w:tr>
      <w:tr>
        <w:tc>
          <w:tcPr>
            <w:tcW w:type="dxa" w:w="4968"/>
            <w:vAlign w:val="center"/>
          </w:tcPr>
          <w:p>
            <w:pPr>
              <w:spacing w:after="0"/>
            </w:pPr>
            <w:r/>
            <w:r>
              <w:rPr>
                <w:rFonts w:ascii="Calibri" w:hAnsi="Calibri"/>
                <w:b w:val="0"/>
                <w:sz w:val="16"/>
              </w:rPr>
              <w:t>FR-07–FR-12</w:t>
            </w:r>
          </w:p>
        </w:tc>
        <w:tc>
          <w:tcPr>
            <w:tcW w:type="dxa" w:w="4968"/>
            <w:vAlign w:val="center"/>
          </w:tcPr>
          <w:p>
            <w:pPr>
              <w:spacing w:after="0"/>
            </w:pPr>
            <w:r/>
            <w:r>
              <w:rPr>
                <w:rFonts w:ascii="Calibri" w:hAnsi="Calibri"/>
                <w:b w:val="0"/>
                <w:sz w:val="16"/>
              </w:rPr>
              <w:t>Catalogue paging, indexed search, filtering/sorting, book detail, verified reviews and related titles.</w:t>
            </w:r>
          </w:p>
        </w:tc>
      </w:tr>
      <w:tr>
        <w:tc>
          <w:tcPr>
            <w:tcW w:type="dxa" w:w="4968"/>
            <w:vAlign w:val="center"/>
          </w:tcPr>
          <w:p>
            <w:pPr>
              <w:spacing w:after="0"/>
            </w:pPr>
            <w:r/>
            <w:r>
              <w:rPr>
                <w:rFonts w:ascii="Calibri" w:hAnsi="Calibri"/>
                <w:b w:val="0"/>
                <w:sz w:val="16"/>
              </w:rPr>
              <w:t>FR-13–FR-18</w:t>
            </w:r>
          </w:p>
        </w:tc>
        <w:tc>
          <w:tcPr>
            <w:tcW w:type="dxa" w:w="4968"/>
            <w:vAlign w:val="center"/>
          </w:tcPr>
          <w:p>
            <w:pPr>
              <w:spacing w:after="0"/>
            </w:pPr>
            <w:r/>
            <w:r>
              <w:rPr>
                <w:rFonts w:ascii="Calibri" w:hAnsi="Calibri"/>
                <w:b w:val="0"/>
                <w:sz w:val="16"/>
              </w:rPr>
              <w:t>Cart, wishlist, checkout validation, payment, invoice, order lifecycle, cancellation and returns.</w:t>
            </w:r>
          </w:p>
        </w:tc>
      </w:tr>
      <w:tr>
        <w:tc>
          <w:tcPr>
            <w:tcW w:type="dxa" w:w="4968"/>
            <w:vAlign w:val="center"/>
          </w:tcPr>
          <w:p>
            <w:pPr>
              <w:spacing w:after="0"/>
            </w:pPr>
            <w:r/>
            <w:r>
              <w:rPr>
                <w:rFonts w:ascii="Calibri" w:hAnsi="Calibri"/>
                <w:b w:val="0"/>
                <w:sz w:val="16"/>
              </w:rPr>
              <w:t>FR-19–FR-24</w:t>
            </w:r>
          </w:p>
        </w:tc>
        <w:tc>
          <w:tcPr>
            <w:tcW w:type="dxa" w:w="4968"/>
            <w:vAlign w:val="center"/>
          </w:tcPr>
          <w:p>
            <w:pPr>
              <w:spacing w:after="0"/>
            </w:pPr>
            <w:r/>
            <w:r>
              <w:rPr>
                <w:rFonts w:ascii="Calibri" w:hAnsi="Calibri"/>
                <w:b w:val="0"/>
                <w:sz w:val="16"/>
              </w:rPr>
              <w:t>Seller listings/inventory/fulfilment/dashboard and administrator moderation/analytics.</w:t>
            </w:r>
          </w:p>
        </w:tc>
      </w:tr>
      <w:tr>
        <w:tc>
          <w:tcPr>
            <w:tcW w:type="dxa" w:w="4968"/>
            <w:vAlign w:val="center"/>
          </w:tcPr>
          <w:p>
            <w:pPr>
              <w:spacing w:after="0"/>
            </w:pPr>
            <w:r/>
            <w:r>
              <w:rPr>
                <w:rFonts w:ascii="Calibri" w:hAnsi="Calibri"/>
                <w:b w:val="0"/>
                <w:sz w:val="16"/>
              </w:rPr>
              <w:t>NFR-01</w:t>
            </w:r>
          </w:p>
        </w:tc>
        <w:tc>
          <w:tcPr>
            <w:tcW w:type="dxa" w:w="4968"/>
            <w:vAlign w:val="center"/>
          </w:tcPr>
          <w:p>
            <w:pPr>
              <w:spacing w:after="0"/>
            </w:pPr>
            <w:r/>
            <w:r>
              <w:rPr>
                <w:rFonts w:ascii="Calibri" w:hAnsi="Calibri"/>
                <w:b w:val="0"/>
                <w:sz w:val="16"/>
              </w:rPr>
              <w:t>Search, catalogue/detail and order/report performance under the reference load.</w:t>
            </w:r>
          </w:p>
        </w:tc>
      </w:tr>
      <w:tr>
        <w:tc>
          <w:tcPr>
            <w:tcW w:type="dxa" w:w="4968"/>
            <w:vAlign w:val="center"/>
          </w:tcPr>
          <w:p>
            <w:pPr>
              <w:spacing w:after="0"/>
            </w:pPr>
            <w:r/>
            <w:r>
              <w:rPr>
                <w:rFonts w:ascii="Calibri" w:hAnsi="Calibri"/>
                <w:b w:val="0"/>
                <w:sz w:val="16"/>
              </w:rPr>
              <w:t>NFR-02</w:t>
            </w:r>
          </w:p>
        </w:tc>
        <w:tc>
          <w:tcPr>
            <w:tcW w:type="dxa" w:w="4968"/>
            <w:vAlign w:val="center"/>
          </w:tcPr>
          <w:p>
            <w:pPr>
              <w:spacing w:after="0"/>
            </w:pPr>
            <w:r/>
            <w:r>
              <w:rPr>
                <w:rFonts w:ascii="Calibri" w:hAnsi="Calibri"/>
                <w:b w:val="0"/>
                <w:sz w:val="16"/>
              </w:rPr>
              <w:t>Application availability and health-check monitoring.</w:t>
            </w:r>
          </w:p>
        </w:tc>
      </w:tr>
      <w:tr>
        <w:tc>
          <w:tcPr>
            <w:tcW w:type="dxa" w:w="4968"/>
            <w:vAlign w:val="center"/>
          </w:tcPr>
          <w:p>
            <w:pPr>
              <w:spacing w:after="0"/>
            </w:pPr>
            <w:r/>
            <w:r>
              <w:rPr>
                <w:rFonts w:ascii="Calibri" w:hAnsi="Calibri"/>
                <w:b w:val="0"/>
                <w:sz w:val="16"/>
              </w:rPr>
              <w:t>NFR-03</w:t>
            </w:r>
          </w:p>
        </w:tc>
        <w:tc>
          <w:tcPr>
            <w:tcW w:type="dxa" w:w="4968"/>
            <w:vAlign w:val="center"/>
          </w:tcPr>
          <w:p>
            <w:pPr>
              <w:spacing w:after="0"/>
            </w:pPr>
            <w:r/>
            <w:r>
              <w:rPr>
                <w:rFonts w:ascii="Calibri" w:hAnsi="Calibri"/>
                <w:b w:val="0"/>
                <w:sz w:val="16"/>
              </w:rPr>
              <w:t>Authentication, TLS, payment isolation, input validation, authorization and audit security.</w:t>
            </w:r>
          </w:p>
        </w:tc>
      </w:tr>
      <w:tr>
        <w:tc>
          <w:tcPr>
            <w:tcW w:type="dxa" w:w="4968"/>
            <w:vAlign w:val="center"/>
          </w:tcPr>
          <w:p>
            <w:pPr>
              <w:spacing w:after="0"/>
            </w:pPr>
            <w:r/>
            <w:r>
              <w:rPr>
                <w:rFonts w:ascii="Calibri" w:hAnsi="Calibri"/>
                <w:b w:val="0"/>
                <w:sz w:val="16"/>
              </w:rPr>
              <w:t>NFR-04</w:t>
            </w:r>
          </w:p>
        </w:tc>
        <w:tc>
          <w:tcPr>
            <w:tcW w:type="dxa" w:w="4968"/>
            <w:vAlign w:val="center"/>
          </w:tcPr>
          <w:p>
            <w:pPr>
              <w:spacing w:after="0"/>
            </w:pPr>
            <w:r/>
            <w:r>
              <w:rPr>
                <w:rFonts w:ascii="Calibri" w:hAnsi="Calibri"/>
                <w:b w:val="0"/>
                <w:sz w:val="16"/>
              </w:rPr>
              <w:t>Usability, 360px responsive checkout, WCAG 2.1 AA contrast and keyboard accessibility.</w:t>
            </w:r>
          </w:p>
        </w:tc>
      </w:tr>
      <w:tr>
        <w:tc>
          <w:tcPr>
            <w:tcW w:type="dxa" w:w="4968"/>
            <w:vAlign w:val="center"/>
          </w:tcPr>
          <w:p>
            <w:pPr>
              <w:spacing w:after="0"/>
            </w:pPr>
            <w:r/>
            <w:r>
              <w:rPr>
                <w:rFonts w:ascii="Calibri" w:hAnsi="Calibri"/>
                <w:b w:val="0"/>
                <w:sz w:val="16"/>
              </w:rPr>
              <w:t>NFR-05</w:t>
            </w:r>
          </w:p>
        </w:tc>
        <w:tc>
          <w:tcPr>
            <w:tcW w:type="dxa" w:w="4968"/>
            <w:vAlign w:val="center"/>
          </w:tcPr>
          <w:p>
            <w:pPr>
              <w:spacing w:after="0"/>
            </w:pPr>
            <w:r/>
            <w:r>
              <w:rPr>
                <w:rFonts w:ascii="Calibri" w:hAnsi="Calibri"/>
                <w:b w:val="0"/>
                <w:sz w:val="16"/>
              </w:rPr>
              <w:t>Atomic stock decrement and prevention of overselling.</w:t>
            </w:r>
          </w:p>
        </w:tc>
      </w:tr>
      <w:tr>
        <w:tc>
          <w:tcPr>
            <w:tcW w:type="dxa" w:w="4968"/>
            <w:vAlign w:val="center"/>
          </w:tcPr>
          <w:p>
            <w:pPr>
              <w:spacing w:after="0"/>
            </w:pPr>
            <w:r/>
            <w:r>
              <w:rPr>
                <w:rFonts w:ascii="Calibri" w:hAnsi="Calibri"/>
                <w:b w:val="0"/>
                <w:sz w:val="16"/>
              </w:rPr>
              <w:t>NFR-06</w:t>
            </w:r>
          </w:p>
        </w:tc>
        <w:tc>
          <w:tcPr>
            <w:tcW w:type="dxa" w:w="4968"/>
            <w:vAlign w:val="center"/>
          </w:tcPr>
          <w:p>
            <w:pPr>
              <w:spacing w:after="0"/>
            </w:pPr>
            <w:r/>
            <w:r>
              <w:rPr>
                <w:rFonts w:ascii="Calibri" w:hAnsi="Calibri"/>
                <w:b w:val="0"/>
                <w:sz w:val="16"/>
              </w:rPr>
              <w:t>ESLint quality gate and minimum 70% service-module unit-test coverage.</w:t>
            </w:r>
          </w:p>
        </w:tc>
      </w:tr>
      <w:tr>
        <w:tc>
          <w:tcPr>
            <w:tcW w:type="dxa" w:w="4968"/>
            <w:vAlign w:val="center"/>
          </w:tcPr>
          <w:p>
            <w:pPr>
              <w:spacing w:after="0"/>
            </w:pPr>
            <w:r/>
            <w:r>
              <w:rPr>
                <w:rFonts w:ascii="Calibri" w:hAnsi="Calibri"/>
                <w:b w:val="0"/>
                <w:sz w:val="16"/>
              </w:rPr>
              <w:t>NFR-07</w:t>
            </w:r>
          </w:p>
        </w:tc>
        <w:tc>
          <w:tcPr>
            <w:tcW w:type="dxa" w:w="4968"/>
            <w:vAlign w:val="center"/>
          </w:tcPr>
          <w:p>
            <w:pPr>
              <w:spacing w:after="0"/>
            </w:pPr>
            <w:r/>
            <w:r>
              <w:rPr>
                <w:rFonts w:ascii="Calibri" w:hAnsi="Calibri"/>
                <w:b w:val="0"/>
                <w:sz w:val="16"/>
              </w:rPr>
              <w:t>Compatibility with latest two major versions of Chrome, Edge, Firefox and Safari.</w:t>
            </w:r>
          </w:p>
        </w:tc>
      </w:tr>
      <w:tr>
        <w:tc>
          <w:tcPr>
            <w:tcW w:type="dxa" w:w="4968"/>
            <w:vAlign w:val="center"/>
          </w:tcPr>
          <w:p>
            <w:pPr>
              <w:spacing w:after="0"/>
            </w:pPr>
            <w:r/>
            <w:r>
              <w:rPr>
                <w:rFonts w:ascii="Calibri" w:hAnsi="Calibri"/>
                <w:b w:val="0"/>
                <w:sz w:val="16"/>
              </w:rPr>
              <w:t>NFR-08</w:t>
            </w:r>
          </w:p>
        </w:tc>
        <w:tc>
          <w:tcPr>
            <w:tcW w:type="dxa" w:w="4968"/>
            <w:vAlign w:val="center"/>
          </w:tcPr>
          <w:p>
            <w:pPr>
              <w:spacing w:after="0"/>
            </w:pPr>
            <w:r/>
            <w:r>
              <w:rPr>
                <w:rFonts w:ascii="Calibri" w:hAnsi="Calibri"/>
                <w:b w:val="0"/>
                <w:sz w:val="16"/>
              </w:rPr>
              <w:t>Append-only audit logging for administrative actions and payment events.</w:t>
            </w:r>
          </w:p>
        </w:tc>
      </w:tr>
    </w:tbl>
    <w:p>
      <w:pPr>
        <w:spacing w:after="0"/>
      </w:pPr>
    </w:p>
    <w:p>
      <w:pPr>
        <w:spacing w:before="160" w:after="80"/>
      </w:pPr>
      <w:r>
        <w:rPr>
          <w:rFonts w:ascii="Calibri" w:hAnsi="Calibri"/>
          <w:b/>
          <w:sz w:val="28"/>
        </w:rPr>
        <w:t>4. Features Not to be Tested</w:t>
      </w:r>
    </w:p>
    <w:p>
      <w:pPr>
        <w:spacing w:after="40"/>
        <w:ind w:left="317" w:hanging="202"/>
      </w:pPr>
      <w:r>
        <w:t>• Real-money payment settlement; the SRS restricts payment to the gateway sandbox.</w:t>
      </w:r>
    </w:p>
    <w:p>
      <w:pPr>
        <w:spacing w:after="40"/>
        <w:ind w:left="317" w:hanging="202"/>
      </w:pPr>
      <w:r>
        <w:t>• Storage or processing of card data by the Online Bookstore; card data remains with the payment gateway.</w:t>
      </w:r>
    </w:p>
    <w:p>
      <w:pPr>
        <w:spacing w:after="40"/>
        <w:ind w:left="317" w:hanging="202"/>
      </w:pPr>
      <w:r>
        <w:t>• Physical courier/logistics execution; the system records courier and tracking information only.</w:t>
      </w:r>
    </w:p>
    <w:p>
      <w:pPr>
        <w:spacing w:after="40"/>
        <w:ind w:left="317" w:hanging="202"/>
      </w:pPr>
      <w:r>
        <w:t>• Mobile application implementation; mobile-browser responsiveness is tested, but a native mobile application is out of scope.</w:t>
      </w:r>
    </w:p>
    <w:p>
      <w:pPr>
        <w:spacing w:after="40"/>
        <w:ind w:left="317" w:hanging="202"/>
      </w:pPr>
      <w:r>
        <w:t>• Multi-language content.</w:t>
      </w:r>
    </w:p>
    <w:p>
      <w:pPr>
        <w:spacing w:after="40"/>
        <w:ind w:left="317" w:hanging="202"/>
      </w:pPr>
      <w:r>
        <w:t>• Seller-to-seller bulk trade.</w:t>
      </w:r>
    </w:p>
    <w:p>
      <w:pPr>
        <w:spacing w:after="40"/>
        <w:ind w:left="317" w:hanging="202"/>
      </w:pPr>
      <w:r>
        <w:t>• Machine-learning recommendation engine.</w:t>
      </w:r>
    </w:p>
    <w:p>
      <w:pPr>
        <w:spacing w:after="40"/>
        <w:ind w:left="317" w:hanging="202"/>
      </w:pPr>
      <w:r>
        <w:t>• Dedicated hardware interfaces, because the SRS states that the product uses commodity cloud containers and standard browsers.</w:t>
      </w:r>
    </w:p>
    <w:p>
      <w:pPr>
        <w:spacing w:before="160" w:after="80"/>
      </w:pPr>
      <w:r>
        <w:rPr>
          <w:rFonts w:ascii="Calibri" w:hAnsi="Calibri"/>
          <w:b/>
          <w:sz w:val="28"/>
        </w:rPr>
        <w:t>5. Test Approach / Strategy</w:t>
      </w:r>
    </w:p>
    <w:p>
      <w:pPr>
        <w:spacing w:before="100" w:after="80"/>
      </w:pPr>
      <w:r>
        <w:rPr>
          <w:rFonts w:ascii="Calibri" w:hAnsi="Calibri"/>
          <w:b/>
          <w:sz w:val="22"/>
        </w:rPr>
        <w:t>5.1 Test Levels</w:t>
      </w:r>
    </w:p>
    <w:p>
      <w:pPr>
        <w:spacing w:after="40"/>
        <w:ind w:left="317" w:hanging="202"/>
      </w:pPr>
      <w:r>
        <w:t>• Unit Testing: Test individual service modules, validation rules and utility functions in isolation. Service dependencies such as payment gateway and SMTP should be injectable/stubbable.</w:t>
      </w:r>
    </w:p>
    <w:p>
      <w:pPr>
        <w:spacing w:after="40"/>
        <w:ind w:left="317" w:hanging="202"/>
      </w:pPr>
      <w:r>
        <w:t>• Integration Testing: Verify interactions between React/API, Express services/MongoDB, Redis, payment gateway adapter, SMTP adapter and object storage interface.</w:t>
      </w:r>
    </w:p>
    <w:p>
      <w:pPr>
        <w:spacing w:after="40"/>
        <w:ind w:left="317" w:hanging="202"/>
      </w:pPr>
      <w:r>
        <w:t>• System Testing: Execute complete user journeys such as registration → verification → login, search → cart → checkout → payment, seller listing → fulfilment and administrator moderation.</w:t>
      </w:r>
    </w:p>
    <w:p>
      <w:pPr>
        <w:spacing w:after="40"/>
        <w:ind w:left="317" w:hanging="202"/>
      </w:pPr>
      <w:r>
        <w:t>• Acceptance Testing (UAT): Confirm that the implemented system satisfies the demonstrable SRS behaviour and course acceptance expectations.</w:t>
      </w:r>
    </w:p>
    <w:p>
      <w:pPr>
        <w:spacing w:before="100" w:after="80"/>
      </w:pPr>
      <w:r>
        <w:rPr>
          <w:rFonts w:ascii="Calibri" w:hAnsi="Calibri"/>
          <w:b/>
          <w:sz w:val="22"/>
        </w:rPr>
        <w:t>5.2 Test Types</w:t>
      </w:r>
    </w:p>
    <w:p>
      <w:pPr>
        <w:spacing w:after="40"/>
        <w:ind w:left="317" w:hanging="202"/>
      </w:pPr>
      <w:r>
        <w:t>• Functional testing - verify FR-01 to FR-24.</w:t>
      </w:r>
    </w:p>
    <w:p>
      <w:pPr>
        <w:spacing w:after="40"/>
        <w:ind w:left="317" w:hanging="202"/>
      </w:pPr>
      <w:r>
        <w:t>• Regression testing - rerun impacted tests after defect fixes or changes.</w:t>
      </w:r>
    </w:p>
    <w:p>
      <w:pPr>
        <w:spacing w:after="40"/>
        <w:ind w:left="317" w:hanging="202"/>
      </w:pPr>
      <w:r>
        <w:t>• Performance testing - verify NFR-01 response targets and reference load behaviour.</w:t>
      </w:r>
    </w:p>
    <w:p>
      <w:pPr>
        <w:spacing w:after="40"/>
        <w:ind w:left="317" w:hanging="202"/>
      </w:pPr>
      <w:r>
        <w:t>• Security testing - verify authentication, authorization, TLS, validation, payment isolation, rate limiting and audit controls.</w:t>
      </w:r>
    </w:p>
    <w:p>
      <w:pPr>
        <w:spacing w:after="40"/>
        <w:ind w:left="317" w:hanging="202"/>
      </w:pPr>
      <w:r>
        <w:t>• Usability/accessibility testing - verify NFR-04, responsive behaviour, keyboard access and readable error feedback.</w:t>
      </w:r>
    </w:p>
    <w:p>
      <w:pPr>
        <w:spacing w:after="40"/>
        <w:ind w:left="317" w:hanging="202"/>
      </w:pPr>
      <w:r>
        <w:t>• Compatibility testing - verify NFR-07 across the specified browsers.</w:t>
      </w:r>
    </w:p>
    <w:p>
      <w:pPr>
        <w:spacing w:after="40"/>
        <w:ind w:left="317" w:hanging="202"/>
      </w:pPr>
      <w:r>
        <w:t>• Data-integrity testing - verify NFR-05, including concurrent purchase of the last available copy.</w:t>
      </w:r>
    </w:p>
    <w:p>
      <w:pPr>
        <w:spacing w:before="100" w:after="80"/>
      </w:pPr>
      <w:r>
        <w:rPr>
          <w:rFonts w:ascii="Calibri" w:hAnsi="Calibri"/>
          <w:b/>
          <w:sz w:val="22"/>
        </w:rPr>
        <w:t>5.3 Test Design Techniques</w:t>
      </w:r>
    </w:p>
    <w:p>
      <w:pPr>
        <w:spacing w:after="40"/>
        <w:ind w:left="317" w:hanging="202"/>
      </w:pPr>
      <w:r>
        <w:t>• Equivalence partitioning for valid/invalid registration, quantity, price, rating and filter inputs.</w:t>
      </w:r>
    </w:p>
    <w:p>
      <w:pPr>
        <w:spacing w:after="40"/>
        <w:ind w:left="317" w:hanging="202"/>
      </w:pPr>
      <w:r>
        <w:t>• Boundary-value analysis for password length, OTP validity, quantity limits, rating 1–5, review length and return-window rules.</w:t>
      </w:r>
    </w:p>
    <w:p>
      <w:pPr>
        <w:spacing w:after="40"/>
        <w:ind w:left="317" w:hanging="202"/>
      </w:pPr>
      <w:r>
        <w:t>• Decision-table testing for RBAC, payment outcomes, order cancellation/return and listing status.</w:t>
      </w:r>
    </w:p>
    <w:p>
      <w:pPr>
        <w:spacing w:after="40"/>
        <w:ind w:left="317" w:hanging="202"/>
      </w:pPr>
      <w:r>
        <w:t>• State-transition testing for order states PLACED → CONFIRMED → PACKED → SHIPPED → DELIVERED and CANCELLED/RETURNED paths.</w:t>
      </w:r>
    </w:p>
    <w:p>
      <w:pPr>
        <w:spacing w:after="40"/>
        <w:ind w:left="317" w:hanging="202"/>
      </w:pPr>
      <w:r>
        <w:t>• Negative testing for unauthorized routes, invalid payment callbacks, invalid ownership and malformed input.</w:t>
      </w:r>
    </w:p>
    <w:p>
      <w:pPr>
        <w:spacing w:before="100" w:after="80"/>
      </w:pPr>
      <w:r>
        <w:rPr>
          <w:rFonts w:ascii="Calibri" w:hAnsi="Calibri"/>
          <w:b/>
          <w:sz w:val="22"/>
        </w:rPr>
        <w:t>5.4 Entry Criteria</w:t>
      </w:r>
    </w:p>
    <w:p>
      <w:pPr>
        <w:spacing w:after="40"/>
        <w:ind w:left="317" w:hanging="202"/>
      </w:pPr>
      <w:r>
        <w:t>• A testable build is available and deployable.</w:t>
      </w:r>
    </w:p>
    <w:p>
      <w:pPr>
        <w:spacing w:after="40"/>
        <w:ind w:left="317" w:hanging="202"/>
      </w:pPr>
      <w:r>
        <w:t>• Required test data and seeded catalogue are available.</w:t>
      </w:r>
    </w:p>
    <w:p>
      <w:pPr>
        <w:spacing w:after="40"/>
        <w:ind w:left="317" w:hanging="202"/>
      </w:pPr>
      <w:r>
        <w:t>• MongoDB/Redis test environment and external service sandboxes are reachable.</w:t>
      </w:r>
    </w:p>
    <w:p>
      <w:pPr>
        <w:spacing w:after="40"/>
        <w:ind w:left="317" w:hanging="202"/>
      </w:pPr>
      <w:r>
        <w:t>• Critical interfaces have stable contracts sufficient for integration testing.</w:t>
      </w:r>
    </w:p>
    <w:p>
      <w:pPr>
        <w:spacing w:after="40"/>
        <w:ind w:left="317" w:hanging="202"/>
      </w:pPr>
      <w:r>
        <w:t>• Test cases and expected results have been reviewed.</w:t>
      </w:r>
    </w:p>
    <w:p>
      <w:pPr>
        <w:spacing w:before="100" w:after="80"/>
      </w:pPr>
      <w:r>
        <w:rPr>
          <w:rFonts w:ascii="Calibri" w:hAnsi="Calibri"/>
          <w:b/>
          <w:sz w:val="22"/>
        </w:rPr>
        <w:t>5.5 Exit Criteria</w:t>
      </w:r>
    </w:p>
    <w:p>
      <w:pPr>
        <w:spacing w:after="40"/>
        <w:ind w:left="317" w:hanging="202"/>
      </w:pPr>
      <w:r>
        <w:t>• 100% of planned test cases executed.</w:t>
      </w:r>
    </w:p>
    <w:p>
      <w:pPr>
        <w:spacing w:after="40"/>
        <w:ind w:left="317" w:hanging="202"/>
      </w:pPr>
      <w:r>
        <w:t>• All critical and blocker defects are closed or formally accepted by the project team/faculty.</w:t>
      </w:r>
    </w:p>
    <w:p>
      <w:pPr>
        <w:spacing w:after="40"/>
        <w:ind w:left="317" w:hanging="202"/>
      </w:pPr>
      <w:r>
        <w:t>• All high-priority SRS requirements have at least one passing test.</w:t>
      </w:r>
    </w:p>
    <w:p>
      <w:pPr>
        <w:spacing w:after="40"/>
        <w:ind w:left="317" w:hanging="202"/>
      </w:pPr>
      <w:r>
        <w:t>• Security validation activities in Section 5.1 are completed.</w:t>
      </w:r>
    </w:p>
    <w:p>
      <w:pPr>
        <w:spacing w:after="40"/>
        <w:ind w:left="317" w:hanging="202"/>
      </w:pPr>
      <w:r>
        <w:t>• Performance and data-integrity acceptance targets are demonstrated or documented with results.</w:t>
      </w:r>
    </w:p>
    <w:p>
      <w:pPr>
        <w:spacing w:after="40"/>
        <w:ind w:left="317" w:hanging="202"/>
      </w:pPr>
      <w:r>
        <w:t>• Requirement traceability coverage is complete for the selected test scope.</w:t>
      </w:r>
    </w:p>
    <w:p>
      <w:pPr>
        <w:spacing w:before="100" w:after="80"/>
      </w:pPr>
      <w:r>
        <w:rPr>
          <w:rFonts w:ascii="Calibri" w:hAnsi="Calibri"/>
          <w:b/>
          <w:sz w:val="22"/>
        </w:rPr>
        <w:t>5.6 Test Case Priority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7"/>
              </w:rPr>
              <w:t>Priority</w:t>
            </w:r>
          </w:p>
        </w:tc>
        <w:tc>
          <w:tcPr>
            <w:tcW w:type="dxa" w:w="4968"/>
            <w:vAlign w:val="center"/>
            <w:shd w:fill="D9EAF7"/>
          </w:tcPr>
          <w:p>
            <w:pPr>
              <w:spacing w:after="0"/>
            </w:pPr>
            <w:r/>
            <w:r>
              <w:rPr>
                <w:rFonts w:ascii="Calibri" w:hAnsi="Calibri"/>
                <w:b/>
                <w:sz w:val="17"/>
              </w:rPr>
              <w:t>Meaning</w:t>
            </w:r>
          </w:p>
        </w:tc>
      </w:tr>
      <w:tr>
        <w:tc>
          <w:tcPr>
            <w:tcW w:type="dxa" w:w="4968"/>
            <w:vAlign w:val="center"/>
          </w:tcPr>
          <w:p>
            <w:pPr>
              <w:spacing w:after="0"/>
            </w:pPr>
            <w:r/>
            <w:r>
              <w:rPr>
                <w:rFonts w:ascii="Calibri" w:hAnsi="Calibri"/>
                <w:b w:val="0"/>
                <w:sz w:val="17"/>
              </w:rPr>
              <w:t>High</w:t>
            </w:r>
          </w:p>
        </w:tc>
        <w:tc>
          <w:tcPr>
            <w:tcW w:type="dxa" w:w="4968"/>
            <w:vAlign w:val="center"/>
          </w:tcPr>
          <w:p>
            <w:pPr>
              <w:spacing w:after="0"/>
            </w:pPr>
            <w:r/>
            <w:r>
              <w:rPr>
                <w:rFonts w:ascii="Calibri" w:hAnsi="Calibri"/>
                <w:b w:val="0"/>
                <w:sz w:val="17"/>
              </w:rPr>
              <w:t>Failure prevents a core buyer/seller/admin journey or violates a critical security/data-integrity requirement.</w:t>
            </w:r>
          </w:p>
        </w:tc>
      </w:tr>
      <w:tr>
        <w:tc>
          <w:tcPr>
            <w:tcW w:type="dxa" w:w="4968"/>
            <w:vAlign w:val="center"/>
          </w:tcPr>
          <w:p>
            <w:pPr>
              <w:spacing w:after="0"/>
            </w:pPr>
            <w:r/>
            <w:r>
              <w:rPr>
                <w:rFonts w:ascii="Calibri" w:hAnsi="Calibri"/>
                <w:b w:val="0"/>
                <w:sz w:val="17"/>
              </w:rPr>
              <w:t>Medium</w:t>
            </w:r>
          </w:p>
        </w:tc>
        <w:tc>
          <w:tcPr>
            <w:tcW w:type="dxa" w:w="4968"/>
            <w:vAlign w:val="center"/>
          </w:tcPr>
          <w:p>
            <w:pPr>
              <w:spacing w:after="0"/>
            </w:pPr>
            <w:r/>
            <w:r>
              <w:rPr>
                <w:rFonts w:ascii="Calibri" w:hAnsi="Calibri"/>
                <w:b w:val="0"/>
                <w:sz w:val="17"/>
              </w:rPr>
              <w:t>Failure affects a supporting function but core transaction flow can continue.</w:t>
            </w:r>
          </w:p>
        </w:tc>
      </w:tr>
      <w:tr>
        <w:tc>
          <w:tcPr>
            <w:tcW w:type="dxa" w:w="4968"/>
            <w:vAlign w:val="center"/>
          </w:tcPr>
          <w:p>
            <w:pPr>
              <w:spacing w:after="0"/>
            </w:pPr>
            <w:r/>
            <w:r>
              <w:rPr>
                <w:rFonts w:ascii="Calibri" w:hAnsi="Calibri"/>
                <w:b w:val="0"/>
                <w:sz w:val="17"/>
              </w:rPr>
              <w:t>Low</w:t>
            </w:r>
          </w:p>
        </w:tc>
        <w:tc>
          <w:tcPr>
            <w:tcW w:type="dxa" w:w="4968"/>
            <w:vAlign w:val="center"/>
          </w:tcPr>
          <w:p>
            <w:pPr>
              <w:spacing w:after="0"/>
            </w:pPr>
            <w:r/>
            <w:r>
              <w:rPr>
                <w:rFonts w:ascii="Calibri" w:hAnsi="Calibri"/>
                <w:b w:val="0"/>
                <w:sz w:val="17"/>
              </w:rPr>
              <w:t>Cosmetic, convenience or lower-impact behaviour.</w:t>
            </w:r>
          </w:p>
        </w:tc>
      </w:tr>
    </w:tbl>
    <w:p>
      <w:pPr>
        <w:spacing w:after="0"/>
      </w:pPr>
    </w:p>
    <w:p>
      <w:pPr>
        <w:spacing w:before="160" w:after="80"/>
      </w:pPr>
      <w:r>
        <w:rPr>
          <w:rFonts w:ascii="Calibri" w:hAnsi="Calibri"/>
          <w:b/>
          <w:sz w:val="28"/>
        </w:rPr>
        <w:t>5.1 Security Validation</w:t>
      </w:r>
    </w:p>
    <w:p>
      <w:pPr>
        <w:spacing w:after="100" w:line="259" w:lineRule="auto"/>
      </w:pPr>
      <w:r>
        <w:t>Security validation is based on the SRS security requirements and the Online Bookstore security architecture. Testing must demonstrate that security controls are enforced server-side rather than relying only on client-side presentation.</w:t>
      </w:r>
    </w:p>
    <w:p>
      <w:pPr>
        <w:spacing w:after="40"/>
        <w:ind w:left="317" w:hanging="202"/>
      </w:pPr>
      <w:r>
        <w:t>• Authentication validation: verify bcrypt password handling, verified-account requirement, JWT access-token expiry and refresh-token invalidation on logout/password change.</w:t>
      </w:r>
    </w:p>
    <w:p>
      <w:pPr>
        <w:spacing w:after="40"/>
        <w:ind w:left="317" w:hanging="202"/>
      </w:pPr>
      <w:r>
        <w:t>• OTP validation: verify six-digit OTP, ten-minute validity, invalid-attempt handling and request-rate cap of three per hour per account.</w:t>
      </w:r>
    </w:p>
    <w:p>
      <w:pPr>
        <w:spacing w:after="40"/>
        <w:ind w:left="317" w:hanging="202"/>
      </w:pPr>
      <w:r>
        <w:t>• Authorization validation: attempt buyer access to seller/admin endpoints and verify HTTP 403; verify object-level ownership for orders, addresses, carts, listings and settlements.</w:t>
      </w:r>
    </w:p>
    <w:p>
      <w:pPr>
        <w:spacing w:after="40"/>
        <w:ind w:left="317" w:hanging="202"/>
      </w:pPr>
      <w:r>
        <w:t>• TLS validation: verify client-server communication uses TLS 1.2 or higher and plain HTTP is redirected to HTTPS.</w:t>
      </w:r>
    </w:p>
    <w:p>
      <w:pPr>
        <w:spacing w:after="40"/>
        <w:ind w:left="317" w:hanging="202"/>
      </w:pPr>
      <w:r>
        <w:t>• Payment security: verify that card data is never stored/logged by the application; verify payment webhook signature validation and idempotent duplicate-callback handling.</w:t>
      </w:r>
    </w:p>
    <w:p>
      <w:pPr>
        <w:spacing w:after="40"/>
        <w:ind w:left="317" w:hanging="202"/>
      </w:pPr>
      <w:r>
        <w:t>• Input security: test malformed and injection/XSS-oriented inputs against server-side validation and sanitisation.</w:t>
      </w:r>
    </w:p>
    <w:p>
      <w:pPr>
        <w:spacing w:after="40"/>
        <w:ind w:left="317" w:hanging="202"/>
      </w:pPr>
      <w:r>
        <w:t>• Rate limiting: verify repeated failed logins are rate-limited and OTP requests are capped.</w:t>
      </w:r>
    </w:p>
    <w:p>
      <w:pPr>
        <w:spacing w:after="40"/>
        <w:ind w:left="317" w:hanging="202"/>
      </w:pPr>
      <w:r>
        <w:t>• Audit validation: verify administrative actions and payment events record actor, action, target and timestamp in an append-only audit log.</w:t>
      </w:r>
    </w:p>
    <w:p>
      <w:pPr>
        <w:spacing w:after="40"/>
        <w:ind w:left="317" w:hanging="202"/>
      </w:pPr>
      <w:r>
        <w:t>• Session/security review: verify access-token expiry, refresh-token rotation and blocked-user rejection at authentication.</w:t>
      </w:r>
    </w:p>
    <w:p>
      <w:pPr>
        <w:spacing w:before="160" w:after="80"/>
      </w:pPr>
      <w:r>
        <w:rPr>
          <w:rFonts w:ascii="Calibri" w:hAnsi="Calibri"/>
          <w:b/>
          <w:sz w:val="28"/>
        </w:rPr>
        <w:t>6. Test Environment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6"/>
              </w:rPr>
              <w:t>Area</w:t>
            </w:r>
          </w:p>
        </w:tc>
        <w:tc>
          <w:tcPr>
            <w:tcW w:type="dxa" w:w="4968"/>
            <w:vAlign w:val="center"/>
            <w:shd w:fill="D9EAF7"/>
          </w:tcPr>
          <w:p>
            <w:pPr>
              <w:spacing w:after="0"/>
            </w:pPr>
            <w:r/>
            <w:r>
              <w:rPr>
                <w:rFonts w:ascii="Calibri" w:hAnsi="Calibri"/>
                <w:b/>
                <w:sz w:val="16"/>
              </w:rPr>
              <w:t>Planned environment</w:t>
            </w:r>
          </w:p>
        </w:tc>
      </w:tr>
      <w:tr>
        <w:tc>
          <w:tcPr>
            <w:tcW w:type="dxa" w:w="4968"/>
            <w:vAlign w:val="center"/>
          </w:tcPr>
          <w:p>
            <w:pPr>
              <w:spacing w:after="0"/>
            </w:pPr>
            <w:r/>
            <w:r>
              <w:rPr>
                <w:rFonts w:ascii="Calibri" w:hAnsi="Calibri"/>
                <w:b w:val="0"/>
                <w:sz w:val="16"/>
              </w:rPr>
              <w:t>Client</w:t>
            </w:r>
          </w:p>
        </w:tc>
        <w:tc>
          <w:tcPr>
            <w:tcW w:type="dxa" w:w="4968"/>
            <w:vAlign w:val="center"/>
          </w:tcPr>
          <w:p>
            <w:pPr>
              <w:spacing w:after="0"/>
            </w:pPr>
            <w:r/>
            <w:r>
              <w:rPr>
                <w:rFonts w:ascii="Calibri" w:hAnsi="Calibri"/>
                <w:b w:val="0"/>
                <w:sz w:val="16"/>
              </w:rPr>
              <w:t>React single-page application accessed using the latest two major versions of Chrome, Edge, Firefox and Safari.</w:t>
            </w:r>
          </w:p>
        </w:tc>
      </w:tr>
      <w:tr>
        <w:tc>
          <w:tcPr>
            <w:tcW w:type="dxa" w:w="4968"/>
            <w:vAlign w:val="center"/>
          </w:tcPr>
          <w:p>
            <w:pPr>
              <w:spacing w:after="0"/>
            </w:pPr>
            <w:r/>
            <w:r>
              <w:rPr>
                <w:rFonts w:ascii="Calibri" w:hAnsi="Calibri"/>
                <w:b w:val="0"/>
                <w:sz w:val="16"/>
              </w:rPr>
              <w:t>Responsive devices</w:t>
            </w:r>
          </w:p>
        </w:tc>
        <w:tc>
          <w:tcPr>
            <w:tcW w:type="dxa" w:w="4968"/>
            <w:vAlign w:val="center"/>
          </w:tcPr>
          <w:p>
            <w:pPr>
              <w:spacing w:after="0"/>
            </w:pPr>
            <w:r/>
            <w:r>
              <w:rPr>
                <w:rFonts w:ascii="Calibri" w:hAnsi="Calibri"/>
                <w:b w:val="0"/>
                <w:sz w:val="16"/>
              </w:rPr>
              <w:t>Desktop browser plus mobile-browser viewport down to 360 px as specified by the SRS.</w:t>
            </w:r>
          </w:p>
        </w:tc>
      </w:tr>
      <w:tr>
        <w:tc>
          <w:tcPr>
            <w:tcW w:type="dxa" w:w="4968"/>
            <w:vAlign w:val="center"/>
          </w:tcPr>
          <w:p>
            <w:pPr>
              <w:spacing w:after="0"/>
            </w:pPr>
            <w:r/>
            <w:r>
              <w:rPr>
                <w:rFonts w:ascii="Calibri" w:hAnsi="Calibri"/>
                <w:b w:val="0"/>
                <w:sz w:val="16"/>
              </w:rPr>
              <w:t>Server</w:t>
            </w:r>
          </w:p>
        </w:tc>
        <w:tc>
          <w:tcPr>
            <w:tcW w:type="dxa" w:w="4968"/>
            <w:vAlign w:val="center"/>
          </w:tcPr>
          <w:p>
            <w:pPr>
              <w:spacing w:after="0"/>
            </w:pPr>
            <w:r/>
            <w:r>
              <w:rPr>
                <w:rFonts w:ascii="Calibri" w:hAnsi="Calibri"/>
                <w:b w:val="0"/>
                <w:sz w:val="16"/>
              </w:rPr>
              <w:t>Node.js 20 LTS on a Linux container / managed cloud host.</w:t>
            </w:r>
          </w:p>
        </w:tc>
      </w:tr>
      <w:tr>
        <w:tc>
          <w:tcPr>
            <w:tcW w:type="dxa" w:w="4968"/>
            <w:vAlign w:val="center"/>
          </w:tcPr>
          <w:p>
            <w:pPr>
              <w:spacing w:after="0"/>
            </w:pPr>
            <w:r/>
            <w:r>
              <w:rPr>
                <w:rFonts w:ascii="Calibri" w:hAnsi="Calibri"/>
                <w:b w:val="0"/>
                <w:sz w:val="16"/>
              </w:rPr>
              <w:t>Database</w:t>
            </w:r>
          </w:p>
        </w:tc>
        <w:tc>
          <w:tcPr>
            <w:tcW w:type="dxa" w:w="4968"/>
            <w:vAlign w:val="center"/>
          </w:tcPr>
          <w:p>
            <w:pPr>
              <w:spacing w:after="0"/>
            </w:pPr>
            <w:r/>
            <w:r>
              <w:rPr>
                <w:rFonts w:ascii="Calibri" w:hAnsi="Calibri"/>
                <w:b w:val="0"/>
                <w:sz w:val="16"/>
              </w:rPr>
              <w:t>MongoDB 7 on managed MongoDB Atlas.</w:t>
            </w:r>
          </w:p>
        </w:tc>
      </w:tr>
      <w:tr>
        <w:tc>
          <w:tcPr>
            <w:tcW w:type="dxa" w:w="4968"/>
            <w:vAlign w:val="center"/>
          </w:tcPr>
          <w:p>
            <w:pPr>
              <w:spacing w:after="0"/>
            </w:pPr>
            <w:r/>
            <w:r>
              <w:rPr>
                <w:rFonts w:ascii="Calibri" w:hAnsi="Calibri"/>
                <w:b w:val="0"/>
                <w:sz w:val="16"/>
              </w:rPr>
              <w:t>Cache / sessions</w:t>
            </w:r>
          </w:p>
        </w:tc>
        <w:tc>
          <w:tcPr>
            <w:tcW w:type="dxa" w:w="4968"/>
            <w:vAlign w:val="center"/>
          </w:tcPr>
          <w:p>
            <w:pPr>
              <w:spacing w:after="0"/>
            </w:pPr>
            <w:r/>
            <w:r>
              <w:rPr>
                <w:rFonts w:ascii="Calibri" w:hAnsi="Calibri"/>
                <w:b w:val="0"/>
                <w:sz w:val="16"/>
              </w:rPr>
              <w:t>Redis 7.</w:t>
            </w:r>
          </w:p>
        </w:tc>
      </w:tr>
      <w:tr>
        <w:tc>
          <w:tcPr>
            <w:tcW w:type="dxa" w:w="4968"/>
            <w:vAlign w:val="center"/>
          </w:tcPr>
          <w:p>
            <w:pPr>
              <w:spacing w:after="0"/>
            </w:pPr>
            <w:r/>
            <w:r>
              <w:rPr>
                <w:rFonts w:ascii="Calibri" w:hAnsi="Calibri"/>
                <w:b w:val="0"/>
                <w:sz w:val="16"/>
              </w:rPr>
              <w:t>Payment</w:t>
            </w:r>
          </w:p>
        </w:tc>
        <w:tc>
          <w:tcPr>
            <w:tcW w:type="dxa" w:w="4968"/>
            <w:vAlign w:val="center"/>
          </w:tcPr>
          <w:p>
            <w:pPr>
              <w:spacing w:after="0"/>
            </w:pPr>
            <w:r/>
            <w:r>
              <w:rPr>
                <w:rFonts w:ascii="Calibri" w:hAnsi="Calibri"/>
                <w:b w:val="0"/>
                <w:sz w:val="16"/>
              </w:rPr>
              <w:t>Payment gateway sandbox REST API.</w:t>
            </w:r>
          </w:p>
        </w:tc>
      </w:tr>
      <w:tr>
        <w:tc>
          <w:tcPr>
            <w:tcW w:type="dxa" w:w="4968"/>
            <w:vAlign w:val="center"/>
          </w:tcPr>
          <w:p>
            <w:pPr>
              <w:spacing w:after="0"/>
            </w:pPr>
            <w:r/>
            <w:r>
              <w:rPr>
                <w:rFonts w:ascii="Calibri" w:hAnsi="Calibri"/>
                <w:b w:val="0"/>
                <w:sz w:val="16"/>
              </w:rPr>
              <w:t>Notification</w:t>
            </w:r>
          </w:p>
        </w:tc>
        <w:tc>
          <w:tcPr>
            <w:tcW w:type="dxa" w:w="4968"/>
            <w:vAlign w:val="center"/>
          </w:tcPr>
          <w:p>
            <w:pPr>
              <w:spacing w:after="0"/>
            </w:pPr>
            <w:r/>
            <w:r>
              <w:rPr>
                <w:rFonts w:ascii="Calibri" w:hAnsi="Calibri"/>
                <w:b w:val="0"/>
                <w:sz w:val="16"/>
              </w:rPr>
              <w:t>SMTP service over TLS.</w:t>
            </w:r>
          </w:p>
        </w:tc>
      </w:tr>
      <w:tr>
        <w:tc>
          <w:tcPr>
            <w:tcW w:type="dxa" w:w="4968"/>
            <w:vAlign w:val="center"/>
          </w:tcPr>
          <w:p>
            <w:pPr>
              <w:spacing w:after="0"/>
            </w:pPr>
            <w:r/>
            <w:r>
              <w:rPr>
                <w:rFonts w:ascii="Calibri" w:hAnsi="Calibri"/>
                <w:b w:val="0"/>
                <w:sz w:val="16"/>
              </w:rPr>
              <w:t>Images</w:t>
            </w:r>
          </w:p>
        </w:tc>
        <w:tc>
          <w:tcPr>
            <w:tcW w:type="dxa" w:w="4968"/>
            <w:vAlign w:val="center"/>
          </w:tcPr>
          <w:p>
            <w:pPr>
              <w:spacing w:after="0"/>
            </w:pPr>
            <w:r/>
            <w:r>
              <w:rPr>
                <w:rFonts w:ascii="Calibri" w:hAnsi="Calibri"/>
                <w:b w:val="0"/>
                <w:sz w:val="16"/>
              </w:rPr>
              <w:t>Cloud object storage interface.</w:t>
            </w:r>
          </w:p>
        </w:tc>
      </w:tr>
      <w:tr>
        <w:tc>
          <w:tcPr>
            <w:tcW w:type="dxa" w:w="4968"/>
            <w:vAlign w:val="center"/>
          </w:tcPr>
          <w:p>
            <w:pPr>
              <w:spacing w:after="0"/>
            </w:pPr>
            <w:r/>
            <w:r>
              <w:rPr>
                <w:rFonts w:ascii="Calibri" w:hAnsi="Calibri"/>
                <w:b w:val="0"/>
                <w:sz w:val="16"/>
              </w:rPr>
              <w:t>API</w:t>
            </w:r>
          </w:p>
        </w:tc>
        <w:tc>
          <w:tcPr>
            <w:tcW w:type="dxa" w:w="4968"/>
            <w:vAlign w:val="center"/>
          </w:tcPr>
          <w:p>
            <w:pPr>
              <w:spacing w:after="0"/>
            </w:pPr>
            <w:r/>
            <w:r>
              <w:rPr>
                <w:rFonts w:ascii="Calibri" w:hAnsi="Calibri"/>
                <w:b w:val="0"/>
                <w:sz w:val="16"/>
              </w:rPr>
              <w:t>HTTPS REST API with JSON and bearer JWT.</w:t>
            </w:r>
          </w:p>
        </w:tc>
      </w:tr>
      <w:tr>
        <w:tc>
          <w:tcPr>
            <w:tcW w:type="dxa" w:w="4968"/>
            <w:vAlign w:val="center"/>
          </w:tcPr>
          <w:p>
            <w:pPr>
              <w:spacing w:after="0"/>
            </w:pPr>
            <w:r/>
            <w:r>
              <w:rPr>
                <w:rFonts w:ascii="Calibri" w:hAnsi="Calibri"/>
                <w:b w:val="0"/>
                <w:sz w:val="16"/>
              </w:rPr>
              <w:t>Test data</w:t>
            </w:r>
          </w:p>
        </w:tc>
        <w:tc>
          <w:tcPr>
            <w:tcW w:type="dxa" w:w="4968"/>
            <w:vAlign w:val="center"/>
          </w:tcPr>
          <w:p>
            <w:pPr>
              <w:spacing w:after="0"/>
            </w:pPr>
            <w:r/>
            <w:r>
              <w:rPr>
                <w:rFonts w:ascii="Calibri" w:hAnsi="Calibri"/>
                <w:b w:val="0"/>
                <w:sz w:val="16"/>
              </w:rPr>
              <w:t>Seeded catalogue of 10,000 listings; user roles Buyer/Seller/Administrator; controlled order, payment and inventory records.</w:t>
            </w:r>
          </w:p>
        </w:tc>
      </w:tr>
      <w:tr>
        <w:tc>
          <w:tcPr>
            <w:tcW w:type="dxa" w:w="4968"/>
            <w:vAlign w:val="center"/>
          </w:tcPr>
          <w:p>
            <w:pPr>
              <w:spacing w:after="0"/>
            </w:pPr>
            <w:r/>
            <w:r>
              <w:rPr>
                <w:rFonts w:ascii="Calibri" w:hAnsi="Calibri"/>
                <w:b w:val="0"/>
                <w:sz w:val="16"/>
              </w:rPr>
              <w:t>Performance load</w:t>
            </w:r>
          </w:p>
        </w:tc>
        <w:tc>
          <w:tcPr>
            <w:tcW w:type="dxa" w:w="4968"/>
            <w:vAlign w:val="center"/>
          </w:tcPr>
          <w:p>
            <w:pPr>
              <w:spacing w:after="0"/>
            </w:pPr>
            <w:r/>
            <w:r>
              <w:rPr>
                <w:rFonts w:ascii="Calibri" w:hAnsi="Calibri"/>
                <w:b w:val="0"/>
                <w:sz w:val="16"/>
              </w:rPr>
              <w:t>Reference load of up to 200 concurrent users as stated in SRS.</w:t>
            </w:r>
          </w:p>
        </w:tc>
      </w:tr>
      <w:tr>
        <w:tc>
          <w:tcPr>
            <w:tcW w:type="dxa" w:w="4968"/>
            <w:vAlign w:val="center"/>
          </w:tcPr>
          <w:p>
            <w:pPr>
              <w:spacing w:after="0"/>
            </w:pPr>
            <w:r/>
            <w:r>
              <w:rPr>
                <w:rFonts w:ascii="Calibri" w:hAnsi="Calibri"/>
                <w:b w:val="0"/>
                <w:sz w:val="16"/>
              </w:rPr>
              <w:t>Tools</w:t>
            </w:r>
          </w:p>
        </w:tc>
        <w:tc>
          <w:tcPr>
            <w:tcW w:type="dxa" w:w="4968"/>
            <w:vAlign w:val="center"/>
          </w:tcPr>
          <w:p>
            <w:pPr>
              <w:spacing w:after="0"/>
            </w:pPr>
            <w:r/>
            <w:r>
              <w:rPr>
                <w:rFonts w:ascii="Calibri" w:hAnsi="Calibri"/>
                <w:b w:val="0"/>
                <w:sz w:val="16"/>
              </w:rPr>
              <w:t>GitHub/CI and OpenAPI/Swagger are project-supported tools. Postman and a performance/load tool may be used for execution where available; exact tool selection is an implementation decision.</w:t>
            </w:r>
          </w:p>
        </w:tc>
      </w:tr>
    </w:tbl>
    <w:p>
      <w:pPr>
        <w:spacing w:after="0"/>
      </w:pPr>
    </w:p>
    <w:p>
      <w:pPr>
        <w:spacing w:before="160" w:after="80"/>
      </w:pPr>
      <w:r>
        <w:rPr>
          <w:rFonts w:ascii="Calibri" w:hAnsi="Calibri"/>
          <w:b/>
          <w:sz w:val="28"/>
        </w:rPr>
        <w:t>7. Test Schedule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6"/>
              </w:rPr>
              <w:t>Milestone</w:t>
            </w:r>
          </w:p>
        </w:tc>
        <w:tc>
          <w:tcPr>
            <w:tcW w:type="dxa" w:w="3312"/>
            <w:vAlign w:val="center"/>
            <w:shd w:fill="D9EAF7"/>
          </w:tcPr>
          <w:p>
            <w:pPr>
              <w:spacing w:after="0"/>
            </w:pPr>
            <w:r/>
            <w:r>
              <w:rPr>
                <w:rFonts w:ascii="Calibri" w:hAnsi="Calibri"/>
                <w:b/>
                <w:sz w:val="16"/>
              </w:rPr>
              <w:t>Planned date</w:t>
            </w:r>
          </w:p>
        </w:tc>
        <w:tc>
          <w:tcPr>
            <w:tcW w:type="dxa" w:w="3312"/>
            <w:vAlign w:val="center"/>
            <w:shd w:fill="D9EAF7"/>
          </w:tcPr>
          <w:p>
            <w:pPr>
              <w:spacing w:after="0"/>
            </w:pPr>
            <w:r/>
            <w:r>
              <w:rPr>
                <w:rFonts w:ascii="Calibri" w:hAnsi="Calibri"/>
                <w:b/>
                <w:sz w:val="16"/>
              </w:rPr>
              <w:t>Output</w:t>
            </w:r>
          </w:p>
        </w:tc>
      </w:tr>
      <w:tr>
        <w:tc>
          <w:tcPr>
            <w:tcW w:type="dxa" w:w="3312"/>
            <w:vAlign w:val="center"/>
          </w:tcPr>
          <w:p>
            <w:pPr>
              <w:spacing w:after="0"/>
            </w:pPr>
            <w:r/>
            <w:r>
              <w:rPr>
                <w:rFonts w:ascii="Calibri" w:hAnsi="Calibri"/>
                <w:b w:val="0"/>
                <w:sz w:val="16"/>
              </w:rPr>
              <w:t>Test-plan preparation</w:t>
            </w:r>
          </w:p>
        </w:tc>
        <w:tc>
          <w:tcPr>
            <w:tcW w:type="dxa" w:w="3312"/>
            <w:vAlign w:val="center"/>
          </w:tcPr>
          <w:p>
            <w:pPr>
              <w:spacing w:after="0"/>
            </w:pPr>
            <w:r/>
            <w:r>
              <w:rPr>
                <w:rFonts w:ascii="Calibri" w:hAnsi="Calibri"/>
                <w:b w:val="0"/>
                <w:sz w:val="16"/>
              </w:rPr>
              <w:t>05-Oct-2026</w:t>
            </w:r>
          </w:p>
        </w:tc>
        <w:tc>
          <w:tcPr>
            <w:tcW w:type="dxa" w:w="3312"/>
            <w:vAlign w:val="center"/>
          </w:tcPr>
          <w:p>
            <w:pPr>
              <w:spacing w:after="0"/>
            </w:pPr>
            <w:r/>
            <w:r>
              <w:rPr>
                <w:rFonts w:ascii="Calibri" w:hAnsi="Calibri"/>
                <w:b w:val="0"/>
                <w:sz w:val="16"/>
              </w:rPr>
              <w:t>STP baseline aligned to SRS/SAD.</w:t>
            </w:r>
          </w:p>
        </w:tc>
      </w:tr>
      <w:tr>
        <w:tc>
          <w:tcPr>
            <w:tcW w:type="dxa" w:w="3312"/>
            <w:vAlign w:val="center"/>
          </w:tcPr>
          <w:p>
            <w:pPr>
              <w:spacing w:after="0"/>
            </w:pPr>
            <w:r/>
            <w:r>
              <w:rPr>
                <w:rFonts w:ascii="Calibri" w:hAnsi="Calibri"/>
                <w:b w:val="0"/>
                <w:sz w:val="16"/>
              </w:rPr>
              <w:t>Test-case design and review</w:t>
            </w:r>
          </w:p>
        </w:tc>
        <w:tc>
          <w:tcPr>
            <w:tcW w:type="dxa" w:w="3312"/>
            <w:vAlign w:val="center"/>
          </w:tcPr>
          <w:p>
            <w:pPr>
              <w:spacing w:after="0"/>
            </w:pPr>
            <w:r/>
            <w:r>
              <w:rPr>
                <w:rFonts w:ascii="Calibri" w:hAnsi="Calibri"/>
                <w:b w:val="0"/>
                <w:sz w:val="16"/>
              </w:rPr>
              <w:t>05-Oct-2026</w:t>
            </w:r>
          </w:p>
        </w:tc>
        <w:tc>
          <w:tcPr>
            <w:tcW w:type="dxa" w:w="3312"/>
            <w:vAlign w:val="center"/>
          </w:tcPr>
          <w:p>
            <w:pPr>
              <w:spacing w:after="0"/>
            </w:pPr>
            <w:r/>
            <w:r>
              <w:rPr>
                <w:rFonts w:ascii="Calibri" w:hAnsi="Calibri"/>
                <w:b w:val="0"/>
                <w:sz w:val="16"/>
              </w:rPr>
              <w:t>Functional, non-functional and security test cases.</w:t>
            </w:r>
          </w:p>
        </w:tc>
      </w:tr>
      <w:tr>
        <w:tc>
          <w:tcPr>
            <w:tcW w:type="dxa" w:w="3312"/>
            <w:vAlign w:val="center"/>
          </w:tcPr>
          <w:p>
            <w:pPr>
              <w:spacing w:after="0"/>
            </w:pPr>
            <w:r/>
            <w:r>
              <w:rPr>
                <w:rFonts w:ascii="Calibri" w:hAnsi="Calibri"/>
                <w:b w:val="0"/>
                <w:sz w:val="16"/>
              </w:rPr>
              <w:t>Environment/data setup</w:t>
            </w:r>
          </w:p>
        </w:tc>
        <w:tc>
          <w:tcPr>
            <w:tcW w:type="dxa" w:w="3312"/>
            <w:vAlign w:val="center"/>
          </w:tcPr>
          <w:p>
            <w:pPr>
              <w:spacing w:after="0"/>
            </w:pPr>
            <w:r/>
            <w:r>
              <w:rPr>
                <w:rFonts w:ascii="Calibri" w:hAnsi="Calibri"/>
                <w:b w:val="0"/>
                <w:sz w:val="16"/>
              </w:rPr>
              <w:t>05-Oct-2026</w:t>
            </w:r>
          </w:p>
        </w:tc>
        <w:tc>
          <w:tcPr>
            <w:tcW w:type="dxa" w:w="3312"/>
            <w:vAlign w:val="center"/>
          </w:tcPr>
          <w:p>
            <w:pPr>
              <w:spacing w:after="0"/>
            </w:pPr>
            <w:r/>
            <w:r>
              <w:rPr>
                <w:rFonts w:ascii="Calibri" w:hAnsi="Calibri"/>
                <w:b w:val="0"/>
                <w:sz w:val="16"/>
              </w:rPr>
              <w:t>Test environment and seed data ready.</w:t>
            </w:r>
          </w:p>
        </w:tc>
      </w:tr>
      <w:tr>
        <w:tc>
          <w:tcPr>
            <w:tcW w:type="dxa" w:w="3312"/>
            <w:vAlign w:val="center"/>
          </w:tcPr>
          <w:p>
            <w:pPr>
              <w:spacing w:after="0"/>
            </w:pPr>
            <w:r/>
            <w:r>
              <w:rPr>
                <w:rFonts w:ascii="Calibri" w:hAnsi="Calibri"/>
                <w:b w:val="0"/>
                <w:sz w:val="16"/>
              </w:rPr>
              <w:t>Functional/system execution</w:t>
            </w:r>
          </w:p>
        </w:tc>
        <w:tc>
          <w:tcPr>
            <w:tcW w:type="dxa" w:w="3312"/>
            <w:vAlign w:val="center"/>
          </w:tcPr>
          <w:p>
            <w:pPr>
              <w:spacing w:after="0"/>
            </w:pPr>
            <w:r/>
            <w:r>
              <w:rPr>
                <w:rFonts w:ascii="Calibri" w:hAnsi="Calibri"/>
                <w:b w:val="0"/>
                <w:sz w:val="16"/>
              </w:rPr>
              <w:t>06-Oct-2026</w:t>
            </w:r>
          </w:p>
        </w:tc>
        <w:tc>
          <w:tcPr>
            <w:tcW w:type="dxa" w:w="3312"/>
            <w:vAlign w:val="center"/>
          </w:tcPr>
          <w:p>
            <w:pPr>
              <w:spacing w:after="0"/>
            </w:pPr>
            <w:r/>
            <w:r>
              <w:rPr>
                <w:rFonts w:ascii="Calibri" w:hAnsi="Calibri"/>
                <w:b w:val="0"/>
                <w:sz w:val="16"/>
              </w:rPr>
              <w:t>Executed test cases and defect records.</w:t>
            </w:r>
          </w:p>
        </w:tc>
      </w:tr>
      <w:tr>
        <w:tc>
          <w:tcPr>
            <w:tcW w:type="dxa" w:w="3312"/>
            <w:vAlign w:val="center"/>
          </w:tcPr>
          <w:p>
            <w:pPr>
              <w:spacing w:after="0"/>
            </w:pPr>
            <w:r/>
            <w:r>
              <w:rPr>
                <w:rFonts w:ascii="Calibri" w:hAnsi="Calibri"/>
                <w:b w:val="0"/>
                <w:sz w:val="16"/>
              </w:rPr>
              <w:t>Security validation</w:t>
            </w:r>
          </w:p>
        </w:tc>
        <w:tc>
          <w:tcPr>
            <w:tcW w:type="dxa" w:w="3312"/>
            <w:vAlign w:val="center"/>
          </w:tcPr>
          <w:p>
            <w:pPr>
              <w:spacing w:after="0"/>
            </w:pPr>
            <w:r/>
            <w:r>
              <w:rPr>
                <w:rFonts w:ascii="Calibri" w:hAnsi="Calibri"/>
                <w:b w:val="0"/>
                <w:sz w:val="16"/>
              </w:rPr>
              <w:t>06-Oct-2026</w:t>
            </w:r>
          </w:p>
        </w:tc>
        <w:tc>
          <w:tcPr>
            <w:tcW w:type="dxa" w:w="3312"/>
            <w:vAlign w:val="center"/>
          </w:tcPr>
          <w:p>
            <w:pPr>
              <w:spacing w:after="0"/>
            </w:pPr>
            <w:r/>
            <w:r>
              <w:rPr>
                <w:rFonts w:ascii="Calibri" w:hAnsi="Calibri"/>
                <w:b w:val="0"/>
                <w:sz w:val="16"/>
              </w:rPr>
              <w:t>Security validation results.</w:t>
            </w:r>
          </w:p>
        </w:tc>
      </w:tr>
      <w:tr>
        <w:tc>
          <w:tcPr>
            <w:tcW w:type="dxa" w:w="3312"/>
            <w:vAlign w:val="center"/>
          </w:tcPr>
          <w:p>
            <w:pPr>
              <w:spacing w:after="0"/>
            </w:pPr>
            <w:r/>
            <w:r>
              <w:rPr>
                <w:rFonts w:ascii="Calibri" w:hAnsi="Calibri"/>
                <w:b w:val="0"/>
                <w:sz w:val="16"/>
              </w:rPr>
              <w:t>Performance/data-integrity validation</w:t>
            </w:r>
          </w:p>
        </w:tc>
        <w:tc>
          <w:tcPr>
            <w:tcW w:type="dxa" w:w="3312"/>
            <w:vAlign w:val="center"/>
          </w:tcPr>
          <w:p>
            <w:pPr>
              <w:spacing w:after="0"/>
            </w:pPr>
            <w:r/>
            <w:r>
              <w:rPr>
                <w:rFonts w:ascii="Calibri" w:hAnsi="Calibri"/>
                <w:b w:val="0"/>
                <w:sz w:val="16"/>
              </w:rPr>
              <w:t>06-Oct-2026</w:t>
            </w:r>
          </w:p>
        </w:tc>
        <w:tc>
          <w:tcPr>
            <w:tcW w:type="dxa" w:w="3312"/>
            <w:vAlign w:val="center"/>
          </w:tcPr>
          <w:p>
            <w:pPr>
              <w:spacing w:after="0"/>
            </w:pPr>
            <w:r/>
            <w:r>
              <w:rPr>
                <w:rFonts w:ascii="Calibri" w:hAnsi="Calibri"/>
                <w:b w:val="0"/>
                <w:sz w:val="16"/>
              </w:rPr>
              <w:t>NFR-01 and NFR-05 evidence.</w:t>
            </w:r>
          </w:p>
        </w:tc>
      </w:tr>
      <w:tr>
        <w:tc>
          <w:tcPr>
            <w:tcW w:type="dxa" w:w="3312"/>
            <w:vAlign w:val="center"/>
          </w:tcPr>
          <w:p>
            <w:pPr>
              <w:spacing w:after="0"/>
            </w:pPr>
            <w:r/>
            <w:r>
              <w:rPr>
                <w:rFonts w:ascii="Calibri" w:hAnsi="Calibri"/>
                <w:b w:val="0"/>
                <w:sz w:val="16"/>
              </w:rPr>
              <w:t>Final regression/UAT</w:t>
            </w:r>
          </w:p>
        </w:tc>
        <w:tc>
          <w:tcPr>
            <w:tcW w:type="dxa" w:w="3312"/>
            <w:vAlign w:val="center"/>
          </w:tcPr>
          <w:p>
            <w:pPr>
              <w:spacing w:after="0"/>
            </w:pPr>
            <w:r/>
            <w:r>
              <w:rPr>
                <w:rFonts w:ascii="Calibri" w:hAnsi="Calibri"/>
                <w:b w:val="0"/>
                <w:sz w:val="16"/>
              </w:rPr>
              <w:t>07-Oct-2026</w:t>
            </w:r>
          </w:p>
        </w:tc>
        <w:tc>
          <w:tcPr>
            <w:tcW w:type="dxa" w:w="3312"/>
            <w:vAlign w:val="center"/>
          </w:tcPr>
          <w:p>
            <w:pPr>
              <w:spacing w:after="0"/>
            </w:pPr>
            <w:r/>
            <w:r>
              <w:rPr>
                <w:rFonts w:ascii="Calibri" w:hAnsi="Calibri"/>
                <w:b w:val="0"/>
                <w:sz w:val="16"/>
              </w:rPr>
              <w:t>Regression results and acceptance evidence.</w:t>
            </w:r>
          </w:p>
        </w:tc>
      </w:tr>
      <w:tr>
        <w:tc>
          <w:tcPr>
            <w:tcW w:type="dxa" w:w="3312"/>
            <w:vAlign w:val="center"/>
          </w:tcPr>
          <w:p>
            <w:pPr>
              <w:spacing w:after="0"/>
            </w:pPr>
            <w:r/>
            <w:r>
              <w:rPr>
                <w:rFonts w:ascii="Calibri" w:hAnsi="Calibri"/>
                <w:b w:val="0"/>
                <w:sz w:val="16"/>
              </w:rPr>
              <w:t>Test summary</w:t>
            </w:r>
          </w:p>
        </w:tc>
        <w:tc>
          <w:tcPr>
            <w:tcW w:type="dxa" w:w="3312"/>
            <w:vAlign w:val="center"/>
          </w:tcPr>
          <w:p>
            <w:pPr>
              <w:spacing w:after="0"/>
            </w:pPr>
            <w:r/>
            <w:r>
              <w:rPr>
                <w:rFonts w:ascii="Calibri" w:hAnsi="Calibri"/>
                <w:b w:val="0"/>
                <w:sz w:val="16"/>
              </w:rPr>
              <w:t>07-Oct-2026</w:t>
            </w:r>
          </w:p>
        </w:tc>
        <w:tc>
          <w:tcPr>
            <w:tcW w:type="dxa" w:w="3312"/>
            <w:vAlign w:val="center"/>
          </w:tcPr>
          <w:p>
            <w:pPr>
              <w:spacing w:after="0"/>
            </w:pPr>
            <w:r/>
            <w:r>
              <w:rPr>
                <w:rFonts w:ascii="Calibri" w:hAnsi="Calibri"/>
                <w:b w:val="0"/>
                <w:sz w:val="16"/>
              </w:rPr>
              <w:t>Final Test Summary Report.</w:t>
            </w:r>
          </w:p>
        </w:tc>
      </w:tr>
    </w:tbl>
    <w:p>
      <w:pPr>
        <w:spacing w:after="0"/>
      </w:pPr>
    </w:p>
    <w:p>
      <w:pPr>
        <w:spacing w:before="160" w:after="80"/>
      </w:pPr>
      <w:r>
        <w:rPr>
          <w:rFonts w:ascii="Calibri" w:hAnsi="Calibri"/>
          <w:b/>
          <w:sz w:val="28"/>
        </w:rPr>
        <w:t>8. Test Deliverables</w:t>
      </w:r>
    </w:p>
    <w:p>
      <w:pPr>
        <w:spacing w:after="40"/>
        <w:ind w:left="317" w:hanging="202"/>
      </w:pPr>
      <w:r>
        <w:t>• Software Test Plan (this document).</w:t>
      </w:r>
    </w:p>
    <w:p>
      <w:pPr>
        <w:spacing w:after="40"/>
        <w:ind w:left="317" w:hanging="202"/>
      </w:pPr>
      <w:r>
        <w:t>• Functional, non-functional and security test cases.</w:t>
      </w:r>
    </w:p>
    <w:p>
      <w:pPr>
        <w:spacing w:after="40"/>
        <w:ind w:left="317" w:hanging="202"/>
      </w:pPr>
      <w:r>
        <w:t>• Test data / seeded data required for execution.</w:t>
      </w:r>
    </w:p>
    <w:p>
      <w:pPr>
        <w:spacing w:after="40"/>
        <w:ind w:left="317" w:hanging="202"/>
      </w:pPr>
      <w:r>
        <w:t>• Test execution results and logs.</w:t>
      </w:r>
    </w:p>
    <w:p>
      <w:pPr>
        <w:spacing w:after="40"/>
        <w:ind w:left="317" w:hanging="202"/>
      </w:pPr>
      <w:r>
        <w:t>• Defect reports with severity, evidence and status.</w:t>
      </w:r>
    </w:p>
    <w:p>
      <w:pPr>
        <w:spacing w:after="40"/>
        <w:ind w:left="317" w:hanging="202"/>
      </w:pPr>
      <w:r>
        <w:t>• Requirement Traceability Matrix linking SRS requirements to tests.</w:t>
      </w:r>
    </w:p>
    <w:p>
      <w:pPr>
        <w:spacing w:after="40"/>
        <w:ind w:left="317" w:hanging="202"/>
      </w:pPr>
      <w:r>
        <w:t>• Performance/security validation evidence.</w:t>
      </w:r>
    </w:p>
    <w:p>
      <w:pPr>
        <w:spacing w:after="40"/>
        <w:ind w:left="317" w:hanging="202"/>
      </w:pPr>
      <w:r>
        <w:t>• Final Test Summary Report.</w:t>
      </w:r>
    </w:p>
    <w:p>
      <w:pPr>
        <w:spacing w:before="160" w:after="80"/>
      </w:pPr>
      <w:r>
        <w:rPr>
          <w:rFonts w:ascii="Calibri" w:hAnsi="Calibri"/>
          <w:b/>
          <w:sz w:val="28"/>
        </w:rPr>
        <w:t>9. Roles and Responsibilities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7"/>
              </w:rPr>
              <w:t>Role</w:t>
            </w:r>
          </w:p>
        </w:tc>
        <w:tc>
          <w:tcPr>
            <w:tcW w:type="dxa" w:w="3312"/>
            <w:vAlign w:val="center"/>
            <w:shd w:fill="D9EAF7"/>
          </w:tcPr>
          <w:p>
            <w:pPr>
              <w:spacing w:after="0"/>
            </w:pPr>
            <w:r/>
            <w:r>
              <w:rPr>
                <w:rFonts w:ascii="Calibri" w:hAnsi="Calibri"/>
                <w:b/>
                <w:sz w:val="17"/>
              </w:rPr>
              <w:t>Name</w:t>
            </w:r>
          </w:p>
        </w:tc>
        <w:tc>
          <w:tcPr>
            <w:tcW w:type="dxa" w:w="3312"/>
            <w:vAlign w:val="center"/>
            <w:shd w:fill="D9EAF7"/>
          </w:tcPr>
          <w:p>
            <w:pPr>
              <w:spacing w:after="0"/>
            </w:pPr>
            <w:r/>
            <w:r>
              <w:rPr>
                <w:rFonts w:ascii="Calibri" w:hAnsi="Calibri"/>
                <w:b/>
                <w:sz w:val="17"/>
              </w:rPr>
              <w:t>Responsibility</w:t>
            </w:r>
          </w:p>
        </w:tc>
      </w:tr>
      <w:tr>
        <w:tc>
          <w:tcPr>
            <w:tcW w:type="dxa" w:w="3312"/>
            <w:vAlign w:val="center"/>
          </w:tcPr>
          <w:p>
            <w:pPr>
              <w:spacing w:after="0"/>
            </w:pPr>
            <w:r/>
            <w:r>
              <w:rPr>
                <w:rFonts w:ascii="Calibri" w:hAnsi="Calibri"/>
                <w:b w:val="0"/>
                <w:sz w:val="17"/>
              </w:rPr>
              <w:t>QA / Test Lead</w:t>
            </w:r>
          </w:p>
        </w:tc>
        <w:tc>
          <w:tcPr>
            <w:tcW w:type="dxa" w:w="3312"/>
            <w:vAlign w:val="center"/>
          </w:tcPr>
          <w:p>
            <w:pPr>
              <w:spacing w:after="0"/>
            </w:pPr>
            <w:r/>
            <w:r>
              <w:rPr>
                <w:rFonts w:ascii="Calibri" w:hAnsi="Calibri"/>
                <w:b w:val="0"/>
                <w:sz w:val="17"/>
              </w:rPr>
              <w:t>Group 2</w:t>
            </w:r>
          </w:p>
        </w:tc>
        <w:tc>
          <w:tcPr>
            <w:tcW w:type="dxa" w:w="3312"/>
            <w:vAlign w:val="center"/>
          </w:tcPr>
          <w:p>
            <w:pPr>
              <w:spacing w:after="0"/>
            </w:pPr>
            <w:r/>
            <w:r>
              <w:rPr>
                <w:rFonts w:ascii="Calibri" w:hAnsi="Calibri"/>
                <w:b w:val="0"/>
                <w:sz w:val="17"/>
              </w:rPr>
              <w:t>Maintain STP, coordinate execution, review coverage and consolidate results.</w:t>
            </w:r>
          </w:p>
        </w:tc>
      </w:tr>
      <w:tr>
        <w:tc>
          <w:tcPr>
            <w:tcW w:type="dxa" w:w="3312"/>
            <w:vAlign w:val="center"/>
          </w:tcPr>
          <w:p>
            <w:pPr>
              <w:spacing w:after="0"/>
            </w:pPr>
            <w:r/>
            <w:r>
              <w:rPr>
                <w:rFonts w:ascii="Calibri" w:hAnsi="Calibri"/>
                <w:b w:val="0"/>
                <w:sz w:val="17"/>
              </w:rPr>
              <w:t>Test Engineer</w:t>
            </w:r>
          </w:p>
        </w:tc>
        <w:tc>
          <w:tcPr>
            <w:tcW w:type="dxa" w:w="3312"/>
            <w:vAlign w:val="center"/>
          </w:tcPr>
          <w:p>
            <w:pPr>
              <w:spacing w:after="0"/>
            </w:pPr>
            <w:r/>
            <w:r>
              <w:rPr>
                <w:rFonts w:ascii="Calibri" w:hAnsi="Calibri"/>
                <w:b w:val="0"/>
                <w:sz w:val="17"/>
              </w:rPr>
              <w:t>Group 2</w:t>
            </w:r>
          </w:p>
        </w:tc>
        <w:tc>
          <w:tcPr>
            <w:tcW w:type="dxa" w:w="3312"/>
            <w:vAlign w:val="center"/>
          </w:tcPr>
          <w:p>
            <w:pPr>
              <w:spacing w:after="0"/>
            </w:pPr>
            <w:r/>
            <w:r>
              <w:rPr>
                <w:rFonts w:ascii="Calibri" w:hAnsi="Calibri"/>
                <w:b w:val="0"/>
                <w:sz w:val="17"/>
              </w:rPr>
              <w:t>Design and execute test cases, record evidence and log defects.</w:t>
            </w:r>
          </w:p>
        </w:tc>
      </w:tr>
      <w:tr>
        <w:tc>
          <w:tcPr>
            <w:tcW w:type="dxa" w:w="3312"/>
            <w:vAlign w:val="center"/>
          </w:tcPr>
          <w:p>
            <w:pPr>
              <w:spacing w:after="0"/>
            </w:pPr>
            <w:r/>
            <w:r>
              <w:rPr>
                <w:rFonts w:ascii="Calibri" w:hAnsi="Calibri"/>
                <w:b w:val="0"/>
                <w:sz w:val="17"/>
              </w:rPr>
              <w:t>Developer / Module Owner</w:t>
            </w:r>
          </w:p>
        </w:tc>
        <w:tc>
          <w:tcPr>
            <w:tcW w:type="dxa" w:w="3312"/>
            <w:vAlign w:val="center"/>
          </w:tcPr>
          <w:p>
            <w:pPr>
              <w:spacing w:after="0"/>
            </w:pPr>
            <w:r/>
            <w:r>
              <w:rPr>
                <w:rFonts w:ascii="Calibri" w:hAnsi="Calibri"/>
                <w:b w:val="0"/>
                <w:sz w:val="17"/>
              </w:rPr>
              <w:t>Group 2</w:t>
            </w:r>
          </w:p>
        </w:tc>
        <w:tc>
          <w:tcPr>
            <w:tcW w:type="dxa" w:w="3312"/>
            <w:vAlign w:val="center"/>
          </w:tcPr>
          <w:p>
            <w:pPr>
              <w:spacing w:after="0"/>
            </w:pPr>
            <w:r/>
            <w:r>
              <w:rPr>
                <w:rFonts w:ascii="Calibri" w:hAnsi="Calibri"/>
                <w:b w:val="0"/>
                <w:sz w:val="17"/>
              </w:rPr>
              <w:t>Support test environment, analyze defects, implement fixes and provide unit-test evidence.</w:t>
            </w:r>
          </w:p>
        </w:tc>
      </w:tr>
      <w:tr>
        <w:tc>
          <w:tcPr>
            <w:tcW w:type="dxa" w:w="3312"/>
            <w:vAlign w:val="center"/>
          </w:tcPr>
          <w:p>
            <w:pPr>
              <w:spacing w:after="0"/>
            </w:pPr>
            <w:r/>
            <w:r>
              <w:rPr>
                <w:rFonts w:ascii="Calibri" w:hAnsi="Calibri"/>
                <w:b w:val="0"/>
                <w:sz w:val="17"/>
              </w:rPr>
              <w:t>Product Owner / Faculty Reviewer</w:t>
            </w:r>
          </w:p>
        </w:tc>
        <w:tc>
          <w:tcPr>
            <w:tcW w:type="dxa" w:w="3312"/>
            <w:vAlign w:val="center"/>
          </w:tcPr>
          <w:p>
            <w:pPr>
              <w:spacing w:after="0"/>
            </w:pPr>
            <w:r/>
            <w:r>
              <w:rPr>
                <w:rFonts w:ascii="Calibri" w:hAnsi="Calibri"/>
                <w:b w:val="0"/>
                <w:sz w:val="17"/>
              </w:rPr>
              <w:t>Course team / faculty</w:t>
            </w:r>
          </w:p>
        </w:tc>
        <w:tc>
          <w:tcPr>
            <w:tcW w:type="dxa" w:w="3312"/>
            <w:vAlign w:val="center"/>
          </w:tcPr>
          <w:p>
            <w:pPr>
              <w:spacing w:after="0"/>
            </w:pPr>
            <w:r/>
            <w:r>
              <w:rPr>
                <w:rFonts w:ascii="Calibri" w:hAnsi="Calibri"/>
                <w:b w:val="0"/>
                <w:sz w:val="17"/>
              </w:rPr>
              <w:t>Review acceptance results and provide final readiness/sign-off.</w:t>
            </w:r>
          </w:p>
        </w:tc>
      </w:tr>
    </w:tbl>
    <w:p>
      <w:pPr>
        <w:spacing w:after="0"/>
      </w:pPr>
    </w:p>
    <w:p>
      <w:pPr>
        <w:spacing w:after="100" w:line="259" w:lineRule="auto"/>
      </w:pPr>
      <w:r>
        <w:t>SRS module ownership used for test coordination: Chenchu Sreekrishna Koushik - Identity/Accounts; Deeptha S - Catalogue/Search/Reviews; G H Pramod - Cart/Checkout/Payment/Orders; Hardhick M Gowda - Seller/Admin/Reporting.</w:t>
      </w:r>
    </w:p>
    <w:p>
      <w:pPr>
        <w:spacing w:before="160" w:after="80"/>
      </w:pPr>
      <w:r>
        <w:rPr>
          <w:rFonts w:ascii="Calibri" w:hAnsi="Calibri"/>
          <w:b/>
          <w:sz w:val="28"/>
        </w:rPr>
        <w:t>10. Risks and Mitigation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6"/>
              </w:rPr>
              <w:t>Risk</w:t>
            </w:r>
          </w:p>
        </w:tc>
        <w:tc>
          <w:tcPr>
            <w:tcW w:type="dxa" w:w="3312"/>
            <w:vAlign w:val="center"/>
            <w:shd w:fill="D9EAF7"/>
          </w:tcPr>
          <w:p>
            <w:pPr>
              <w:spacing w:after="0"/>
            </w:pPr>
            <w:r/>
            <w:r>
              <w:rPr>
                <w:rFonts w:ascii="Calibri" w:hAnsi="Calibri"/>
                <w:b/>
                <w:sz w:val="16"/>
              </w:rPr>
              <w:t>Impact</w:t>
            </w:r>
          </w:p>
        </w:tc>
        <w:tc>
          <w:tcPr>
            <w:tcW w:type="dxa" w:w="3312"/>
            <w:vAlign w:val="center"/>
            <w:shd w:fill="D9EAF7"/>
          </w:tcPr>
          <w:p>
            <w:pPr>
              <w:spacing w:after="0"/>
            </w:pPr>
            <w:r/>
            <w:r>
              <w:rPr>
                <w:rFonts w:ascii="Calibri" w:hAnsi="Calibri"/>
                <w:b/>
                <w:sz w:val="16"/>
              </w:rPr>
              <w:t>Mitigation</w:t>
            </w:r>
          </w:p>
        </w:tc>
      </w:tr>
      <w:tr>
        <w:tc>
          <w:tcPr>
            <w:tcW w:type="dxa" w:w="3312"/>
            <w:vAlign w:val="center"/>
          </w:tcPr>
          <w:p>
            <w:pPr>
              <w:spacing w:after="0"/>
            </w:pPr>
            <w:r/>
            <w:r>
              <w:rPr>
                <w:rFonts w:ascii="Calibri" w:hAnsi="Calibri"/>
                <w:b w:val="0"/>
                <w:sz w:val="16"/>
              </w:rPr>
              <w:t>Unstable build delivered late</w:t>
            </w:r>
          </w:p>
        </w:tc>
        <w:tc>
          <w:tcPr>
            <w:tcW w:type="dxa" w:w="3312"/>
            <w:vAlign w:val="center"/>
          </w:tcPr>
          <w:p>
            <w:pPr>
              <w:spacing w:after="0"/>
            </w:pPr>
            <w:r/>
            <w:r>
              <w:rPr>
                <w:rFonts w:ascii="Calibri" w:hAnsi="Calibri"/>
                <w:b w:val="0"/>
                <w:sz w:val="16"/>
              </w:rPr>
              <w:t>Reduces execution time and coverage.</w:t>
            </w:r>
          </w:p>
        </w:tc>
        <w:tc>
          <w:tcPr>
            <w:tcW w:type="dxa" w:w="3312"/>
            <w:vAlign w:val="center"/>
          </w:tcPr>
          <w:p>
            <w:pPr>
              <w:spacing w:after="0"/>
            </w:pPr>
            <w:r/>
            <w:r>
              <w:rPr>
                <w:rFonts w:ascii="Calibri" w:hAnsi="Calibri"/>
                <w:b w:val="0"/>
                <w:sz w:val="16"/>
              </w:rPr>
              <w:t>Request early smoke builds and prioritize high-risk/high-priority test cases.</w:t>
            </w:r>
          </w:p>
        </w:tc>
      </w:tr>
      <w:tr>
        <w:tc>
          <w:tcPr>
            <w:tcW w:type="dxa" w:w="3312"/>
            <w:vAlign w:val="center"/>
          </w:tcPr>
          <w:p>
            <w:pPr>
              <w:spacing w:after="0"/>
            </w:pPr>
            <w:r/>
            <w:r>
              <w:rPr>
                <w:rFonts w:ascii="Calibri" w:hAnsi="Calibri"/>
                <w:b w:val="0"/>
                <w:sz w:val="16"/>
              </w:rPr>
              <w:t>Payment sandbox unavailable</w:t>
            </w:r>
          </w:p>
        </w:tc>
        <w:tc>
          <w:tcPr>
            <w:tcW w:type="dxa" w:w="3312"/>
            <w:vAlign w:val="center"/>
          </w:tcPr>
          <w:p>
            <w:pPr>
              <w:spacing w:after="0"/>
            </w:pPr>
            <w:r/>
            <w:r>
              <w:rPr>
                <w:rFonts w:ascii="Calibri" w:hAnsi="Calibri"/>
                <w:b w:val="0"/>
                <w:sz w:val="16"/>
              </w:rPr>
              <w:t>Checkout success/failure flow cannot be fully executed.</w:t>
            </w:r>
          </w:p>
        </w:tc>
        <w:tc>
          <w:tcPr>
            <w:tcW w:type="dxa" w:w="3312"/>
            <w:vAlign w:val="center"/>
          </w:tcPr>
          <w:p>
            <w:pPr>
              <w:spacing w:after="0"/>
            </w:pPr>
            <w:r/>
            <w:r>
              <w:rPr>
                <w:rFonts w:ascii="Calibri" w:hAnsi="Calibri"/>
                <w:b w:val="0"/>
                <w:sz w:val="16"/>
              </w:rPr>
              <w:t>Use controlled test doubles/stubs for service-level tests and execute sandbox tests when available.</w:t>
            </w:r>
          </w:p>
        </w:tc>
      </w:tr>
      <w:tr>
        <w:tc>
          <w:tcPr>
            <w:tcW w:type="dxa" w:w="3312"/>
            <w:vAlign w:val="center"/>
          </w:tcPr>
          <w:p>
            <w:pPr>
              <w:spacing w:after="0"/>
            </w:pPr>
            <w:r/>
            <w:r>
              <w:rPr>
                <w:rFonts w:ascii="Calibri" w:hAnsi="Calibri"/>
                <w:b w:val="0"/>
                <w:sz w:val="16"/>
              </w:rPr>
              <w:t>SMTP unavailable</w:t>
            </w:r>
          </w:p>
        </w:tc>
        <w:tc>
          <w:tcPr>
            <w:tcW w:type="dxa" w:w="3312"/>
            <w:vAlign w:val="center"/>
          </w:tcPr>
          <w:p>
            <w:pPr>
              <w:spacing w:after="0"/>
            </w:pPr>
            <w:r/>
            <w:r>
              <w:rPr>
                <w:rFonts w:ascii="Calibri" w:hAnsi="Calibri"/>
                <w:b w:val="0"/>
                <w:sz w:val="16"/>
              </w:rPr>
              <w:t>OTP and notification tests are blocked.</w:t>
            </w:r>
          </w:p>
        </w:tc>
        <w:tc>
          <w:tcPr>
            <w:tcW w:type="dxa" w:w="3312"/>
            <w:vAlign w:val="center"/>
          </w:tcPr>
          <w:p>
            <w:pPr>
              <w:spacing w:after="0"/>
            </w:pPr>
            <w:r/>
            <w:r>
              <w:rPr>
                <w:rFonts w:ascii="Calibri" w:hAnsi="Calibri"/>
                <w:b w:val="0"/>
                <w:sz w:val="16"/>
              </w:rPr>
              <w:t>Stub notification adapter for service tests and retry integration tests when service is restored.</w:t>
            </w:r>
          </w:p>
        </w:tc>
      </w:tr>
      <w:tr>
        <w:tc>
          <w:tcPr>
            <w:tcW w:type="dxa" w:w="3312"/>
            <w:vAlign w:val="center"/>
          </w:tcPr>
          <w:p>
            <w:pPr>
              <w:spacing w:after="0"/>
            </w:pPr>
            <w:r/>
            <w:r>
              <w:rPr>
                <w:rFonts w:ascii="Calibri" w:hAnsi="Calibri"/>
                <w:b w:val="0"/>
                <w:sz w:val="16"/>
              </w:rPr>
              <w:t>Performance environment differs from reference environment</w:t>
            </w:r>
          </w:p>
        </w:tc>
        <w:tc>
          <w:tcPr>
            <w:tcW w:type="dxa" w:w="3312"/>
            <w:vAlign w:val="center"/>
          </w:tcPr>
          <w:p>
            <w:pPr>
              <w:spacing w:after="0"/>
            </w:pPr>
            <w:r/>
            <w:r>
              <w:rPr>
                <w:rFonts w:ascii="Calibri" w:hAnsi="Calibri"/>
                <w:b w:val="0"/>
                <w:sz w:val="16"/>
              </w:rPr>
              <w:t>Measured response times may not be comparable.</w:t>
            </w:r>
          </w:p>
        </w:tc>
        <w:tc>
          <w:tcPr>
            <w:tcW w:type="dxa" w:w="3312"/>
            <w:vAlign w:val="center"/>
          </w:tcPr>
          <w:p>
            <w:pPr>
              <w:spacing w:after="0"/>
            </w:pPr>
            <w:r/>
            <w:r>
              <w:rPr>
                <w:rFonts w:ascii="Calibri" w:hAnsi="Calibri"/>
                <w:b w:val="0"/>
                <w:sz w:val="16"/>
              </w:rPr>
              <w:t>Record environment configuration with every performance result and use the SRS reference load.</w:t>
            </w:r>
          </w:p>
        </w:tc>
      </w:tr>
      <w:tr>
        <w:tc>
          <w:tcPr>
            <w:tcW w:type="dxa" w:w="3312"/>
            <w:vAlign w:val="center"/>
          </w:tcPr>
          <w:p>
            <w:pPr>
              <w:spacing w:after="0"/>
            </w:pPr>
            <w:r/>
            <w:r>
              <w:rPr>
                <w:rFonts w:ascii="Calibri" w:hAnsi="Calibri"/>
                <w:b w:val="0"/>
                <w:sz w:val="16"/>
              </w:rPr>
              <w:t>Insufficient test data</w:t>
            </w:r>
          </w:p>
        </w:tc>
        <w:tc>
          <w:tcPr>
            <w:tcW w:type="dxa" w:w="3312"/>
            <w:vAlign w:val="center"/>
          </w:tcPr>
          <w:p>
            <w:pPr>
              <w:spacing w:after="0"/>
            </w:pPr>
            <w:r/>
            <w:r>
              <w:rPr>
                <w:rFonts w:ascii="Calibri" w:hAnsi="Calibri"/>
                <w:b w:val="0"/>
                <w:sz w:val="16"/>
              </w:rPr>
              <w:t>Boundary and ownership tests cannot be executed.</w:t>
            </w:r>
          </w:p>
        </w:tc>
        <w:tc>
          <w:tcPr>
            <w:tcW w:type="dxa" w:w="3312"/>
            <w:vAlign w:val="center"/>
          </w:tcPr>
          <w:p>
            <w:pPr>
              <w:spacing w:after="0"/>
            </w:pPr>
            <w:r/>
            <w:r>
              <w:rPr>
                <w:rFonts w:ascii="Calibri" w:hAnsi="Calibri"/>
                <w:b w:val="0"/>
                <w:sz w:val="16"/>
              </w:rPr>
              <w:t>Prepare role-specific users, listings, stock states, orders and payment records before execution.</w:t>
            </w:r>
          </w:p>
        </w:tc>
      </w:tr>
      <w:tr>
        <w:tc>
          <w:tcPr>
            <w:tcW w:type="dxa" w:w="3312"/>
            <w:vAlign w:val="center"/>
          </w:tcPr>
          <w:p>
            <w:pPr>
              <w:spacing w:after="0"/>
            </w:pPr>
            <w:r/>
            <w:r>
              <w:rPr>
                <w:rFonts w:ascii="Calibri" w:hAnsi="Calibri"/>
                <w:b w:val="0"/>
                <w:sz w:val="16"/>
              </w:rPr>
              <w:t>Defect fixes cause regression</w:t>
            </w:r>
          </w:p>
        </w:tc>
        <w:tc>
          <w:tcPr>
            <w:tcW w:type="dxa" w:w="3312"/>
            <w:vAlign w:val="center"/>
          </w:tcPr>
          <w:p>
            <w:pPr>
              <w:spacing w:after="0"/>
            </w:pPr>
            <w:r/>
            <w:r>
              <w:rPr>
                <w:rFonts w:ascii="Calibri" w:hAnsi="Calibri"/>
                <w:b w:val="0"/>
                <w:sz w:val="16"/>
              </w:rPr>
              <w:t>Previously working functionality may break.</w:t>
            </w:r>
          </w:p>
        </w:tc>
        <w:tc>
          <w:tcPr>
            <w:tcW w:type="dxa" w:w="3312"/>
            <w:vAlign w:val="center"/>
          </w:tcPr>
          <w:p>
            <w:pPr>
              <w:spacing w:after="0"/>
            </w:pPr>
            <w:r/>
            <w:r>
              <w:rPr>
                <w:rFonts w:ascii="Calibri" w:hAnsi="Calibri"/>
                <w:b w:val="0"/>
                <w:sz w:val="16"/>
              </w:rPr>
              <w:t>Run targeted regression plus the complete high-priority smoke suite after significant fixes.</w:t>
            </w:r>
          </w:p>
        </w:tc>
      </w:tr>
      <w:tr>
        <w:tc>
          <w:tcPr>
            <w:tcW w:type="dxa" w:w="3312"/>
            <w:vAlign w:val="center"/>
          </w:tcPr>
          <w:p>
            <w:pPr>
              <w:spacing w:after="0"/>
            </w:pPr>
            <w:r/>
            <w:r>
              <w:rPr>
                <w:rFonts w:ascii="Calibri" w:hAnsi="Calibri"/>
                <w:b w:val="0"/>
                <w:sz w:val="16"/>
              </w:rPr>
              <w:t>Third-party free-tier/resource limits</w:t>
            </w:r>
          </w:p>
        </w:tc>
        <w:tc>
          <w:tcPr>
            <w:tcW w:type="dxa" w:w="3312"/>
            <w:vAlign w:val="center"/>
          </w:tcPr>
          <w:p>
            <w:pPr>
              <w:spacing w:after="0"/>
            </w:pPr>
            <w:r/>
            <w:r>
              <w:rPr>
                <w:rFonts w:ascii="Calibri" w:hAnsi="Calibri"/>
                <w:b w:val="0"/>
                <w:sz w:val="16"/>
              </w:rPr>
              <w:t>Test environment may become unavailable or slow.</w:t>
            </w:r>
          </w:p>
        </w:tc>
        <w:tc>
          <w:tcPr>
            <w:tcW w:type="dxa" w:w="3312"/>
            <w:vAlign w:val="center"/>
          </w:tcPr>
          <w:p>
            <w:pPr>
              <w:spacing w:after="0"/>
            </w:pPr>
            <w:r/>
            <w:r>
              <w:rPr>
                <w:rFonts w:ascii="Calibri" w:hAnsi="Calibri"/>
                <w:b w:val="0"/>
                <w:sz w:val="16"/>
              </w:rPr>
              <w:t>Monitor usage and keep external services within project free-tier constraints.</w:t>
            </w:r>
          </w:p>
        </w:tc>
      </w:tr>
    </w:tbl>
    <w:p>
      <w:pPr>
        <w:spacing w:after="0"/>
      </w:pPr>
    </w:p>
    <w:p>
      <w:pPr>
        <w:spacing w:before="160" w:after="80"/>
      </w:pPr>
      <w:r>
        <w:rPr>
          <w:rFonts w:ascii="Calibri" w:hAnsi="Calibri"/>
          <w:b/>
          <w:sz w:val="28"/>
        </w:rPr>
        <w:t>11. Assumptions &amp; Dependencies</w:t>
      </w:r>
    </w:p>
    <w:p>
      <w:pPr>
        <w:spacing w:after="40"/>
        <w:ind w:left="317" w:hanging="202"/>
      </w:pPr>
      <w:r>
        <w:t>• The Online Bookstore SRS v1.0 remains the baseline for test scope.</w:t>
      </w:r>
    </w:p>
    <w:p>
      <w:pPr>
        <w:spacing w:after="40"/>
        <w:ind w:left="317" w:hanging="202"/>
      </w:pPr>
      <w:r>
        <w:t>• The SAD architecture is implemented sufficiently for integration and system testing.</w:t>
      </w:r>
    </w:p>
    <w:p>
      <w:pPr>
        <w:spacing w:after="40"/>
        <w:ind w:left="317" w:hanging="202"/>
      </w:pPr>
      <w:r>
        <w:t>• MongoDB Atlas and Redis are reachable during test execution.</w:t>
      </w:r>
    </w:p>
    <w:p>
      <w:pPr>
        <w:spacing w:after="40"/>
        <w:ind w:left="317" w:hanging="202"/>
      </w:pPr>
      <w:r>
        <w:t>• The payment gateway sandbox is available and its callback behaviour is sufficiently representative for validation.</w:t>
      </w:r>
    </w:p>
    <w:p>
      <w:pPr>
        <w:spacing w:after="40"/>
        <w:ind w:left="317" w:hanging="202"/>
      </w:pPr>
      <w:r>
        <w:t>• SMTP service is available for integration testing or is replaced by a controlled stub for service-level tests.</w:t>
      </w:r>
    </w:p>
    <w:p>
      <w:pPr>
        <w:spacing w:after="40"/>
        <w:ind w:left="317" w:hanging="202"/>
      </w:pPr>
      <w:r>
        <w:t>• A seeded catalogue of 10,000 listings and a reference load of up to 200 concurrent users are available for performance validation.</w:t>
      </w:r>
    </w:p>
    <w:p>
      <w:pPr>
        <w:spacing w:after="40"/>
        <w:ind w:left="317" w:hanging="202"/>
      </w:pPr>
      <w:r>
        <w:t>• Sellers provide honest book-condition information; the system records the declared condition but cannot physically verify it.</w:t>
      </w:r>
    </w:p>
    <w:p>
      <w:pPr>
        <w:spacing w:after="40"/>
        <w:ind w:left="317" w:hanging="202"/>
      </w:pPr>
      <w:r>
        <w:t>• Courier dispatch itself is outside the system; only courier and tracking information are tested.</w:t>
      </w:r>
    </w:p>
    <w:p>
      <w:pPr>
        <w:spacing w:before="160" w:after="80"/>
      </w:pPr>
      <w:r>
        <w:rPr>
          <w:rFonts w:ascii="Calibri" w:hAnsi="Calibri"/>
          <w:b/>
          <w:sz w:val="28"/>
        </w:rPr>
        <w:t>12. Suspension &amp; Resumption Criteria</w:t>
      </w:r>
    </w:p>
    <w:p>
      <w:pPr>
        <w:spacing w:after="100" w:line="259" w:lineRule="auto"/>
      </w:pPr>
      <w:r>
        <w:t>Suspend testing if:</w:t>
      </w:r>
    </w:p>
    <w:p>
      <w:pPr>
        <w:spacing w:after="40"/>
        <w:ind w:left="317" w:hanging="202"/>
      </w:pPr>
      <w:r>
        <w:t>• The test environment is unavailable for more than four hours or becomes unusable.</w:t>
      </w:r>
    </w:p>
    <w:p>
      <w:pPr>
        <w:spacing w:after="40"/>
        <w:ind w:left="317" w:hanging="202"/>
      </w:pPr>
      <w:r>
        <w:t>• The build is sufficiently unstable that more than 30% of planned tests are blocked.</w:t>
      </w:r>
    </w:p>
    <w:p>
      <w:pPr>
        <w:spacing w:after="40"/>
        <w:ind w:left="317" w:hanging="202"/>
      </w:pPr>
      <w:r>
        <w:t>• A critical security or data-integrity defect makes further execution unsafe or invalid.</w:t>
      </w:r>
    </w:p>
    <w:p>
      <w:pPr>
        <w:spacing w:after="40"/>
        <w:ind w:left="317" w:hanging="202"/>
      </w:pPr>
      <w:r>
        <w:t>• A required external sandbox dependency is unavailable and no approved test stub is available.</w:t>
      </w:r>
    </w:p>
    <w:p>
      <w:pPr>
        <w:spacing w:after="100" w:line="259" w:lineRule="auto"/>
      </w:pPr>
      <w:r>
        <w:t>Resume testing if:</w:t>
      </w:r>
    </w:p>
    <w:p>
      <w:pPr>
        <w:spacing w:after="40"/>
        <w:ind w:left="317" w:hanging="202"/>
      </w:pPr>
      <w:r>
        <w:t>• Blocking/critical defects are resolved or an approved workaround is available.</w:t>
      </w:r>
    </w:p>
    <w:p>
      <w:pPr>
        <w:spacing w:after="40"/>
        <w:ind w:left="317" w:hanging="202"/>
      </w:pPr>
      <w:r>
        <w:t>• The test environment and required services are stabilized.</w:t>
      </w:r>
    </w:p>
    <w:p>
      <w:pPr>
        <w:spacing w:after="40"/>
        <w:ind w:left="317" w:hanging="202"/>
      </w:pPr>
      <w:r>
        <w:t>• A new build passes smoke tests.</w:t>
      </w:r>
    </w:p>
    <w:p>
      <w:pPr>
        <w:spacing w:after="40"/>
        <w:ind w:left="317" w:hanging="202"/>
      </w:pPr>
      <w:r>
        <w:t>• Required test data and interfaces are restored.</w:t>
      </w:r>
    </w:p>
    <w:p>
      <w:pPr>
        <w:spacing w:before="160" w:after="80"/>
      </w:pPr>
      <w:r>
        <w:rPr>
          <w:rFonts w:ascii="Calibri" w:hAnsi="Calibri"/>
          <w:b/>
          <w:sz w:val="28"/>
        </w:rPr>
        <w:t>13. Test Case Management &amp; Traceability</w:t>
      </w:r>
    </w:p>
    <w:p>
      <w:pPr>
        <w:spacing w:after="100" w:line="259" w:lineRule="auto"/>
      </w:pPr>
      <w:r>
        <w:t>The Requirement Traceability Matrix (RTM) maps SRS requirements to architecture/design references and test cases. The test suite below intentionally covers functional, non-functional and security requirements. The complete project RTM remains the authoritative source for requirement-to-code-to-test mapping.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6"/>
              </w:rPr>
              <w:t>Requirement</w:t>
            </w:r>
          </w:p>
        </w:tc>
        <w:tc>
          <w:tcPr>
            <w:tcW w:type="dxa" w:w="4968"/>
            <w:vAlign w:val="center"/>
            <w:shd w:fill="D9EAF7"/>
          </w:tcPr>
          <w:p>
            <w:pPr>
              <w:spacing w:after="0"/>
            </w:pPr>
            <w:r/>
            <w:r>
              <w:rPr>
                <w:rFonts w:ascii="Calibri" w:hAnsi="Calibri"/>
                <w:b/>
                <w:sz w:val="16"/>
              </w:rPr>
              <w:t>Representative test cases</w:t>
            </w:r>
          </w:p>
        </w:tc>
      </w:tr>
      <w:tr>
        <w:tc>
          <w:tcPr>
            <w:tcW w:type="dxa" w:w="4968"/>
            <w:vAlign w:val="center"/>
          </w:tcPr>
          <w:p>
            <w:pPr>
              <w:spacing w:after="0"/>
            </w:pPr>
            <w:r/>
            <w:r>
              <w:rPr>
                <w:rFonts w:ascii="Calibri" w:hAnsi="Calibri"/>
                <w:b w:val="0"/>
                <w:sz w:val="16"/>
              </w:rPr>
              <w:t>FR-01–FR-03</w:t>
            </w:r>
          </w:p>
        </w:tc>
        <w:tc>
          <w:tcPr>
            <w:tcW w:type="dxa" w:w="4968"/>
            <w:vAlign w:val="center"/>
          </w:tcPr>
          <w:p>
            <w:pPr>
              <w:spacing w:after="0"/>
            </w:pPr>
            <w:r/>
            <w:r>
              <w:rPr>
                <w:rFonts w:ascii="Calibri" w:hAnsi="Calibri"/>
                <w:b w:val="0"/>
                <w:sz w:val="16"/>
              </w:rPr>
              <w:t>TC-01, TC-02, TC-03</w:t>
            </w:r>
          </w:p>
        </w:tc>
      </w:tr>
      <w:tr>
        <w:tc>
          <w:tcPr>
            <w:tcW w:type="dxa" w:w="4968"/>
            <w:vAlign w:val="center"/>
          </w:tcPr>
          <w:p>
            <w:pPr>
              <w:spacing w:after="0"/>
            </w:pPr>
            <w:r/>
            <w:r>
              <w:rPr>
                <w:rFonts w:ascii="Calibri" w:hAnsi="Calibri"/>
                <w:b w:val="0"/>
                <w:sz w:val="16"/>
              </w:rPr>
              <w:t>FR-06</w:t>
            </w:r>
          </w:p>
        </w:tc>
        <w:tc>
          <w:tcPr>
            <w:tcW w:type="dxa" w:w="4968"/>
            <w:vAlign w:val="center"/>
          </w:tcPr>
          <w:p>
            <w:pPr>
              <w:spacing w:after="0"/>
            </w:pPr>
            <w:r/>
            <w:r>
              <w:rPr>
                <w:rFonts w:ascii="Calibri" w:hAnsi="Calibri"/>
                <w:b w:val="0"/>
                <w:sz w:val="16"/>
              </w:rPr>
              <w:t>TC-04</w:t>
            </w:r>
          </w:p>
        </w:tc>
      </w:tr>
      <w:tr>
        <w:tc>
          <w:tcPr>
            <w:tcW w:type="dxa" w:w="4968"/>
            <w:vAlign w:val="center"/>
          </w:tcPr>
          <w:p>
            <w:pPr>
              <w:spacing w:after="0"/>
            </w:pPr>
            <w:r/>
            <w:r>
              <w:rPr>
                <w:rFonts w:ascii="Calibri" w:hAnsi="Calibri"/>
                <w:b w:val="0"/>
                <w:sz w:val="16"/>
              </w:rPr>
              <w:t>FR-07–FR-10</w:t>
            </w:r>
          </w:p>
        </w:tc>
        <w:tc>
          <w:tcPr>
            <w:tcW w:type="dxa" w:w="4968"/>
            <w:vAlign w:val="center"/>
          </w:tcPr>
          <w:p>
            <w:pPr>
              <w:spacing w:after="0"/>
            </w:pPr>
            <w:r/>
            <w:r>
              <w:rPr>
                <w:rFonts w:ascii="Calibri" w:hAnsi="Calibri"/>
                <w:b w:val="0"/>
                <w:sz w:val="16"/>
              </w:rPr>
              <w:t>TC-05, TC-06</w:t>
            </w:r>
          </w:p>
        </w:tc>
      </w:tr>
      <w:tr>
        <w:tc>
          <w:tcPr>
            <w:tcW w:type="dxa" w:w="4968"/>
            <w:vAlign w:val="center"/>
          </w:tcPr>
          <w:p>
            <w:pPr>
              <w:spacing w:after="0"/>
            </w:pPr>
            <w:r/>
            <w:r>
              <w:rPr>
                <w:rFonts w:ascii="Calibri" w:hAnsi="Calibri"/>
                <w:b w:val="0"/>
                <w:sz w:val="16"/>
              </w:rPr>
              <w:t>FR-11</w:t>
            </w:r>
          </w:p>
        </w:tc>
        <w:tc>
          <w:tcPr>
            <w:tcW w:type="dxa" w:w="4968"/>
            <w:vAlign w:val="center"/>
          </w:tcPr>
          <w:p>
            <w:pPr>
              <w:spacing w:after="0"/>
            </w:pPr>
            <w:r/>
            <w:r>
              <w:rPr>
                <w:rFonts w:ascii="Calibri" w:hAnsi="Calibri"/>
                <w:b w:val="0"/>
                <w:sz w:val="16"/>
              </w:rPr>
              <w:t>TC-07</w:t>
            </w:r>
          </w:p>
        </w:tc>
      </w:tr>
      <w:tr>
        <w:tc>
          <w:tcPr>
            <w:tcW w:type="dxa" w:w="4968"/>
            <w:vAlign w:val="center"/>
          </w:tcPr>
          <w:p>
            <w:pPr>
              <w:spacing w:after="0"/>
            </w:pPr>
            <w:r/>
            <w:r>
              <w:rPr>
                <w:rFonts w:ascii="Calibri" w:hAnsi="Calibri"/>
                <w:b w:val="0"/>
                <w:sz w:val="16"/>
              </w:rPr>
              <w:t>FR-13–FR-16</w:t>
            </w:r>
          </w:p>
        </w:tc>
        <w:tc>
          <w:tcPr>
            <w:tcW w:type="dxa" w:w="4968"/>
            <w:vAlign w:val="center"/>
          </w:tcPr>
          <w:p>
            <w:pPr>
              <w:spacing w:after="0"/>
            </w:pPr>
            <w:r/>
            <w:r>
              <w:rPr>
                <w:rFonts w:ascii="Calibri" w:hAnsi="Calibri"/>
                <w:b w:val="0"/>
                <w:sz w:val="16"/>
              </w:rPr>
              <w:t>TC-08, TC-09</w:t>
            </w:r>
          </w:p>
        </w:tc>
      </w:tr>
      <w:tr>
        <w:tc>
          <w:tcPr>
            <w:tcW w:type="dxa" w:w="4968"/>
            <w:vAlign w:val="center"/>
          </w:tcPr>
          <w:p>
            <w:pPr>
              <w:spacing w:after="0"/>
            </w:pPr>
            <w:r/>
            <w:r>
              <w:rPr>
                <w:rFonts w:ascii="Calibri" w:hAnsi="Calibri"/>
                <w:b w:val="0"/>
                <w:sz w:val="16"/>
              </w:rPr>
              <w:t>FR-18</w:t>
            </w:r>
          </w:p>
        </w:tc>
        <w:tc>
          <w:tcPr>
            <w:tcW w:type="dxa" w:w="4968"/>
            <w:vAlign w:val="center"/>
          </w:tcPr>
          <w:p>
            <w:pPr>
              <w:spacing w:after="0"/>
            </w:pPr>
            <w:r/>
            <w:r>
              <w:rPr>
                <w:rFonts w:ascii="Calibri" w:hAnsi="Calibri"/>
                <w:b w:val="0"/>
                <w:sz w:val="16"/>
              </w:rPr>
              <w:t>TC-10</w:t>
            </w:r>
          </w:p>
        </w:tc>
      </w:tr>
      <w:tr>
        <w:tc>
          <w:tcPr>
            <w:tcW w:type="dxa" w:w="4968"/>
            <w:vAlign w:val="center"/>
          </w:tcPr>
          <w:p>
            <w:pPr>
              <w:spacing w:after="0"/>
            </w:pPr>
            <w:r/>
            <w:r>
              <w:rPr>
                <w:rFonts w:ascii="Calibri" w:hAnsi="Calibri"/>
                <w:b w:val="0"/>
                <w:sz w:val="16"/>
              </w:rPr>
              <w:t>FR-19–FR-21</w:t>
            </w:r>
          </w:p>
        </w:tc>
        <w:tc>
          <w:tcPr>
            <w:tcW w:type="dxa" w:w="4968"/>
            <w:vAlign w:val="center"/>
          </w:tcPr>
          <w:p>
            <w:pPr>
              <w:spacing w:after="0"/>
            </w:pPr>
            <w:r/>
            <w:r>
              <w:rPr>
                <w:rFonts w:ascii="Calibri" w:hAnsi="Calibri"/>
                <w:b w:val="0"/>
                <w:sz w:val="16"/>
              </w:rPr>
              <w:t>TC-11</w:t>
            </w:r>
          </w:p>
        </w:tc>
      </w:tr>
      <w:tr>
        <w:tc>
          <w:tcPr>
            <w:tcW w:type="dxa" w:w="4968"/>
            <w:vAlign w:val="center"/>
          </w:tcPr>
          <w:p>
            <w:pPr>
              <w:spacing w:after="0"/>
            </w:pPr>
            <w:r/>
            <w:r>
              <w:rPr>
                <w:rFonts w:ascii="Calibri" w:hAnsi="Calibri"/>
                <w:b w:val="0"/>
                <w:sz w:val="16"/>
              </w:rPr>
              <w:t>FR-23–FR-24</w:t>
            </w:r>
          </w:p>
        </w:tc>
        <w:tc>
          <w:tcPr>
            <w:tcW w:type="dxa" w:w="4968"/>
            <w:vAlign w:val="center"/>
          </w:tcPr>
          <w:p>
            <w:pPr>
              <w:spacing w:after="0"/>
            </w:pPr>
            <w:r/>
            <w:r>
              <w:rPr>
                <w:rFonts w:ascii="Calibri" w:hAnsi="Calibri"/>
                <w:b w:val="0"/>
                <w:sz w:val="16"/>
              </w:rPr>
              <w:t>TC-12</w:t>
            </w:r>
          </w:p>
        </w:tc>
      </w:tr>
      <w:tr>
        <w:tc>
          <w:tcPr>
            <w:tcW w:type="dxa" w:w="4968"/>
            <w:vAlign w:val="center"/>
          </w:tcPr>
          <w:p>
            <w:pPr>
              <w:spacing w:after="0"/>
            </w:pPr>
            <w:r/>
            <w:r>
              <w:rPr>
                <w:rFonts w:ascii="Calibri" w:hAnsi="Calibri"/>
                <w:b w:val="0"/>
                <w:sz w:val="16"/>
              </w:rPr>
              <w:t>NFR-01</w:t>
            </w:r>
          </w:p>
        </w:tc>
        <w:tc>
          <w:tcPr>
            <w:tcW w:type="dxa" w:w="4968"/>
            <w:vAlign w:val="center"/>
          </w:tcPr>
          <w:p>
            <w:pPr>
              <w:spacing w:after="0"/>
            </w:pPr>
            <w:r/>
            <w:r>
              <w:rPr>
                <w:rFonts w:ascii="Calibri" w:hAnsi="Calibri"/>
                <w:b w:val="0"/>
                <w:sz w:val="16"/>
              </w:rPr>
              <w:t>TC-13</w:t>
            </w:r>
          </w:p>
        </w:tc>
      </w:tr>
      <w:tr>
        <w:tc>
          <w:tcPr>
            <w:tcW w:type="dxa" w:w="4968"/>
            <w:vAlign w:val="center"/>
          </w:tcPr>
          <w:p>
            <w:pPr>
              <w:spacing w:after="0"/>
            </w:pPr>
            <w:r/>
            <w:r>
              <w:rPr>
                <w:rFonts w:ascii="Calibri" w:hAnsi="Calibri"/>
                <w:b w:val="0"/>
                <w:sz w:val="16"/>
              </w:rPr>
              <w:t>NFR-03</w:t>
            </w:r>
          </w:p>
        </w:tc>
        <w:tc>
          <w:tcPr>
            <w:tcW w:type="dxa" w:w="4968"/>
            <w:vAlign w:val="center"/>
          </w:tcPr>
          <w:p>
            <w:pPr>
              <w:spacing w:after="0"/>
            </w:pPr>
            <w:r/>
            <w:r>
              <w:rPr>
                <w:rFonts w:ascii="Calibri" w:hAnsi="Calibri"/>
                <w:b w:val="0"/>
                <w:sz w:val="16"/>
              </w:rPr>
              <w:t>TC-03, TC-04, TC-14</w:t>
            </w:r>
          </w:p>
        </w:tc>
      </w:tr>
      <w:tr>
        <w:tc>
          <w:tcPr>
            <w:tcW w:type="dxa" w:w="4968"/>
            <w:vAlign w:val="center"/>
          </w:tcPr>
          <w:p>
            <w:pPr>
              <w:spacing w:after="0"/>
            </w:pPr>
            <w:r/>
            <w:r>
              <w:rPr>
                <w:rFonts w:ascii="Calibri" w:hAnsi="Calibri"/>
                <w:b w:val="0"/>
                <w:sz w:val="16"/>
              </w:rPr>
              <w:t>NFR-04 / NFR-07</w:t>
            </w:r>
          </w:p>
        </w:tc>
        <w:tc>
          <w:tcPr>
            <w:tcW w:type="dxa" w:w="4968"/>
            <w:vAlign w:val="center"/>
          </w:tcPr>
          <w:p>
            <w:pPr>
              <w:spacing w:after="0"/>
            </w:pPr>
            <w:r/>
            <w:r>
              <w:rPr>
                <w:rFonts w:ascii="Calibri" w:hAnsi="Calibri"/>
                <w:b w:val="0"/>
                <w:sz w:val="16"/>
              </w:rPr>
              <w:t>TC-15</w:t>
            </w:r>
          </w:p>
        </w:tc>
      </w:tr>
      <w:tr>
        <w:tc>
          <w:tcPr>
            <w:tcW w:type="dxa" w:w="4968"/>
            <w:vAlign w:val="center"/>
          </w:tcPr>
          <w:p>
            <w:pPr>
              <w:spacing w:after="0"/>
            </w:pPr>
            <w:r/>
            <w:r>
              <w:rPr>
                <w:rFonts w:ascii="Calibri" w:hAnsi="Calibri"/>
                <w:b w:val="0"/>
                <w:sz w:val="16"/>
              </w:rPr>
              <w:t>NFR-05</w:t>
            </w:r>
          </w:p>
        </w:tc>
        <w:tc>
          <w:tcPr>
            <w:tcW w:type="dxa" w:w="4968"/>
            <w:vAlign w:val="center"/>
          </w:tcPr>
          <w:p>
            <w:pPr>
              <w:spacing w:after="0"/>
            </w:pPr>
            <w:r/>
            <w:r>
              <w:rPr>
                <w:rFonts w:ascii="Calibri" w:hAnsi="Calibri"/>
                <w:b w:val="0"/>
                <w:sz w:val="16"/>
              </w:rPr>
              <w:t>TC-16</w:t>
            </w:r>
          </w:p>
        </w:tc>
      </w:tr>
      <w:tr>
        <w:tc>
          <w:tcPr>
            <w:tcW w:type="dxa" w:w="4968"/>
            <w:vAlign w:val="center"/>
          </w:tcPr>
          <w:p>
            <w:pPr>
              <w:spacing w:after="0"/>
            </w:pPr>
            <w:r/>
            <w:r>
              <w:rPr>
                <w:rFonts w:ascii="Calibri" w:hAnsi="Calibri"/>
                <w:b w:val="0"/>
                <w:sz w:val="16"/>
              </w:rPr>
              <w:t>NFR-08</w:t>
            </w:r>
          </w:p>
        </w:tc>
        <w:tc>
          <w:tcPr>
            <w:tcW w:type="dxa" w:w="4968"/>
            <w:vAlign w:val="center"/>
          </w:tcPr>
          <w:p>
            <w:pPr>
              <w:spacing w:after="0"/>
            </w:pPr>
            <w:r/>
            <w:r>
              <w:rPr>
                <w:rFonts w:ascii="Calibri" w:hAnsi="Calibri"/>
                <w:b w:val="0"/>
                <w:sz w:val="16"/>
              </w:rPr>
              <w:t>TC-12, TC-14</w:t>
            </w:r>
          </w:p>
        </w:tc>
      </w:tr>
    </w:tbl>
    <w:p>
      <w:pPr>
        <w:spacing w:after="0"/>
      </w:pPr>
    </w:p>
    <w:p>
      <w:pPr>
        <w:spacing w:before="160" w:after="80"/>
      </w:pPr>
      <w:r>
        <w:rPr>
          <w:rFonts w:ascii="Calibri" w:hAnsi="Calibri"/>
          <w:b/>
          <w:sz w:val="28"/>
        </w:rPr>
        <w:t>14. Test Metrics &amp; Reporting</w:t>
      </w:r>
    </w:p>
    <w:p>
      <w:pPr>
        <w:spacing w:before="100" w:after="80"/>
      </w:pPr>
      <w:r>
        <w:rPr>
          <w:rFonts w:ascii="Calibri" w:hAnsi="Calibri"/>
          <w:b/>
          <w:sz w:val="22"/>
        </w:rPr>
        <w:t>14.1 Metrics</w:t>
      </w:r>
    </w:p>
    <w:p>
      <w:pPr>
        <w:spacing w:after="40"/>
        <w:ind w:left="317" w:hanging="202"/>
      </w:pPr>
      <w:r>
        <w:t>• % test cases executed = executed test cases / planned test cases × 100.</w:t>
      </w:r>
    </w:p>
    <w:p>
      <w:pPr>
        <w:spacing w:after="40"/>
        <w:ind w:left="317" w:hanging="202"/>
      </w:pPr>
      <w:r>
        <w:t>• % test cases passed and failed.</w:t>
      </w:r>
    </w:p>
    <w:p>
      <w:pPr>
        <w:spacing w:after="40"/>
        <w:ind w:left="317" w:hanging="202"/>
      </w:pPr>
      <w:r>
        <w:t>• Requirement coverage = requirements with at least one executed test / requirements in scope × 100.</w:t>
      </w:r>
    </w:p>
    <w:p>
      <w:pPr>
        <w:spacing w:after="40"/>
        <w:ind w:left="317" w:hanging="202"/>
      </w:pPr>
      <w:r>
        <w:t>• Defect density and defect severity distribution.</w:t>
      </w:r>
    </w:p>
    <w:p>
      <w:pPr>
        <w:spacing w:after="40"/>
        <w:ind w:left="317" w:hanging="202"/>
      </w:pPr>
      <w:r>
        <w:t>• Defect aging - time defects remain open by severity.</w:t>
      </w:r>
    </w:p>
    <w:p>
      <w:pPr>
        <w:spacing w:after="40"/>
        <w:ind w:left="317" w:hanging="202"/>
      </w:pPr>
      <w:r>
        <w:t>• Performance measures including 95th-percentile search response time and order confirmation time.</w:t>
      </w:r>
    </w:p>
    <w:p>
      <w:pPr>
        <w:spacing w:after="40"/>
        <w:ind w:left="317" w:hanging="202"/>
      </w:pPr>
      <w:r>
        <w:t>• Security validation pass/fail status.</w:t>
      </w:r>
    </w:p>
    <w:p>
      <w:pPr>
        <w:spacing w:after="40"/>
        <w:ind w:left="317" w:hanging="202"/>
      </w:pPr>
      <w:r>
        <w:t>• Regression pass rate after defect fixes.</w:t>
      </w:r>
    </w:p>
    <w:p>
      <w:pPr>
        <w:spacing w:before="100" w:after="80"/>
      </w:pPr>
      <w:r>
        <w:rPr>
          <w:rFonts w:ascii="Calibri" w:hAnsi="Calibri"/>
          <w:b/>
          <w:sz w:val="22"/>
        </w:rPr>
        <w:t>14.2 Reports</w:t>
      </w:r>
    </w:p>
    <w:p>
      <w:pPr>
        <w:spacing w:after="40"/>
        <w:ind w:left="317" w:hanging="202"/>
      </w:pPr>
      <w:r>
        <w:t>• Daily execution status during active testing.</w:t>
      </w:r>
    </w:p>
    <w:p>
      <w:pPr>
        <w:spacing w:after="40"/>
        <w:ind w:left="317" w:hanging="202"/>
      </w:pPr>
      <w:r>
        <w:t>• Defect report / defect dashboard.</w:t>
      </w:r>
    </w:p>
    <w:p>
      <w:pPr>
        <w:spacing w:after="40"/>
        <w:ind w:left="317" w:hanging="202"/>
      </w:pPr>
      <w:r>
        <w:t>• Security validation report.</w:t>
      </w:r>
    </w:p>
    <w:p>
      <w:pPr>
        <w:spacing w:after="40"/>
        <w:ind w:left="317" w:hanging="202"/>
      </w:pPr>
      <w:r>
        <w:t>• Performance test result summary.</w:t>
      </w:r>
    </w:p>
    <w:p>
      <w:pPr>
        <w:spacing w:after="40"/>
        <w:ind w:left="317" w:hanging="202"/>
      </w:pPr>
      <w:r>
        <w:t>• Final Test Summary Report containing execution, pass/fail, defects, coverage and acceptance status.</w:t>
      </w:r>
    </w:p>
    <w:p>
      <w:pPr>
        <w:spacing w:before="160" w:after="80"/>
      </w:pPr>
      <w:r>
        <w:rPr>
          <w:rFonts w:ascii="Calibri" w:hAnsi="Calibri"/>
          <w:b/>
          <w:sz w:val="28"/>
        </w:rPr>
        <w:t>15. Approvals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7"/>
              </w:rPr>
              <w:t>Role</w:t>
            </w:r>
          </w:p>
        </w:tc>
        <w:tc>
          <w:tcPr>
            <w:tcW w:type="dxa" w:w="3312"/>
            <w:vAlign w:val="center"/>
            <w:shd w:fill="D9EAF7"/>
          </w:tcPr>
          <w:p>
            <w:pPr>
              <w:spacing w:after="0"/>
            </w:pPr>
            <w:r/>
            <w:r>
              <w:rPr>
                <w:rFonts w:ascii="Calibri" w:hAnsi="Calibri"/>
                <w:b/>
                <w:sz w:val="17"/>
              </w:rPr>
              <w:t>Name</w:t>
            </w:r>
          </w:p>
        </w:tc>
        <w:tc>
          <w:tcPr>
            <w:tcW w:type="dxa" w:w="3312"/>
            <w:vAlign w:val="center"/>
            <w:shd w:fill="D9EAF7"/>
          </w:tcPr>
          <w:p>
            <w:pPr>
              <w:spacing w:after="0"/>
            </w:pPr>
            <w:r/>
            <w:r>
              <w:rPr>
                <w:rFonts w:ascii="Calibri" w:hAnsi="Calibri"/>
                <w:b/>
                <w:sz w:val="17"/>
              </w:rPr>
              <w:t>Signature / Date</w:t>
            </w:r>
          </w:p>
        </w:tc>
      </w:tr>
      <w:tr>
        <w:tc>
          <w:tcPr>
            <w:tcW w:type="dxa" w:w="3312"/>
            <w:vAlign w:val="center"/>
          </w:tcPr>
          <w:p>
            <w:pPr>
              <w:spacing w:after="0"/>
            </w:pPr>
            <w:r/>
            <w:r>
              <w:rPr>
                <w:rFonts w:ascii="Calibri" w:hAnsi="Calibri"/>
                <w:b w:val="0"/>
                <w:sz w:val="17"/>
              </w:rPr>
              <w:t>QA / Test Lead</w:t>
            </w:r>
          </w:p>
        </w:tc>
        <w:tc>
          <w:tcPr>
            <w:tcW w:type="dxa" w:w="3312"/>
            <w:vAlign w:val="center"/>
          </w:tcPr>
          <w:p>
            <w:pPr>
              <w:spacing w:after="0"/>
            </w:pPr>
            <w:r/>
            <w:r>
              <w:rPr>
                <w:rFonts w:ascii="Calibri" w:hAnsi="Calibri"/>
                <w:b w:val="0"/>
                <w:sz w:val="17"/>
              </w:rPr>
              <w:t>Group 2</w:t>
            </w:r>
          </w:p>
        </w:tc>
        <w:tc>
          <w:tcPr>
            <w:tcW w:type="dxa" w:w="3312"/>
            <w:vAlign w:val="center"/>
          </w:tcPr>
          <w:p>
            <w:pPr>
              <w:spacing w:after="0"/>
            </w:pPr>
            <w:r/>
            <w:r>
              <w:rPr>
                <w:rFonts w:ascii="Calibri" w:hAnsi="Calibri"/>
                <w:b w:val="0"/>
                <w:sz w:val="17"/>
              </w:rPr>
              <w:t>____________________________</w:t>
            </w:r>
          </w:p>
        </w:tc>
      </w:tr>
      <w:tr>
        <w:tc>
          <w:tcPr>
            <w:tcW w:type="dxa" w:w="3312"/>
            <w:vAlign w:val="center"/>
          </w:tcPr>
          <w:p>
            <w:pPr>
              <w:spacing w:after="0"/>
            </w:pPr>
            <w:r/>
            <w:r>
              <w:rPr>
                <w:rFonts w:ascii="Calibri" w:hAnsi="Calibri"/>
                <w:b w:val="0"/>
                <w:sz w:val="17"/>
              </w:rPr>
              <w:t>Development Lead</w:t>
            </w:r>
          </w:p>
        </w:tc>
        <w:tc>
          <w:tcPr>
            <w:tcW w:type="dxa" w:w="3312"/>
            <w:vAlign w:val="center"/>
          </w:tcPr>
          <w:p>
            <w:pPr>
              <w:spacing w:after="0"/>
            </w:pPr>
            <w:r/>
            <w:r>
              <w:rPr>
                <w:rFonts w:ascii="Calibri" w:hAnsi="Calibri"/>
                <w:b w:val="0"/>
                <w:sz w:val="17"/>
              </w:rPr>
              <w:t>Group 2</w:t>
            </w:r>
          </w:p>
        </w:tc>
        <w:tc>
          <w:tcPr>
            <w:tcW w:type="dxa" w:w="3312"/>
            <w:vAlign w:val="center"/>
          </w:tcPr>
          <w:p>
            <w:pPr>
              <w:spacing w:after="0"/>
            </w:pPr>
            <w:r/>
            <w:r>
              <w:rPr>
                <w:rFonts w:ascii="Calibri" w:hAnsi="Calibri"/>
                <w:b w:val="0"/>
                <w:sz w:val="17"/>
              </w:rPr>
              <w:t>____________________________</w:t>
            </w:r>
          </w:p>
        </w:tc>
      </w:tr>
      <w:tr>
        <w:tc>
          <w:tcPr>
            <w:tcW w:type="dxa" w:w="3312"/>
            <w:vAlign w:val="center"/>
          </w:tcPr>
          <w:p>
            <w:pPr>
              <w:spacing w:after="0"/>
            </w:pPr>
            <w:r/>
            <w:r>
              <w:rPr>
                <w:rFonts w:ascii="Calibri" w:hAnsi="Calibri"/>
                <w:b w:val="0"/>
                <w:sz w:val="17"/>
              </w:rPr>
              <w:t>Product Owner / Faculty</w:t>
            </w:r>
          </w:p>
        </w:tc>
        <w:tc>
          <w:tcPr>
            <w:tcW w:type="dxa" w:w="3312"/>
            <w:vAlign w:val="center"/>
          </w:tcPr>
          <w:p>
            <w:pPr>
              <w:spacing w:after="0"/>
            </w:pPr>
            <w:r/>
            <w:r>
              <w:rPr>
                <w:rFonts w:ascii="Calibri" w:hAnsi="Calibri"/>
                <w:b w:val="0"/>
                <w:sz w:val="17"/>
              </w:rPr>
              <w:t>________________</w:t>
            </w:r>
          </w:p>
        </w:tc>
        <w:tc>
          <w:tcPr>
            <w:tcW w:type="dxa" w:w="3312"/>
            <w:vAlign w:val="center"/>
          </w:tcPr>
          <w:p>
            <w:pPr>
              <w:spacing w:after="0"/>
            </w:pPr>
            <w:r/>
            <w:r>
              <w:rPr>
                <w:rFonts w:ascii="Calibri" w:hAnsi="Calibri"/>
                <w:b w:val="0"/>
                <w:sz w:val="17"/>
              </w:rPr>
              <w:t>____________________________</w:t>
            </w:r>
          </w:p>
        </w:tc>
      </w:tr>
    </w:tbl>
    <w:p>
      <w:pPr>
        <w:spacing w:after="0"/>
      </w:pPr>
    </w:p>
    <w:p>
      <w:r>
        <w:br w:type="page"/>
      </w:r>
    </w:p>
    <w:p>
      <w:pPr>
        <w:spacing w:before="160" w:after="80"/>
      </w:pPr>
      <w:r>
        <w:rPr>
          <w:rFonts w:ascii="Calibri" w:hAnsi="Calibri"/>
          <w:b/>
          <w:sz w:val="28"/>
        </w:rPr>
        <w:t>Appendix A: System Test Cases</w:t>
      </w:r>
    </w:p>
    <w:p>
      <w:pPr>
        <w:spacing w:after="100" w:line="259" w:lineRule="auto"/>
      </w:pPr>
      <w:r>
        <w:t>The assignment requires sufficient test cases covering functional and non-functional requirements. The following 16 cases provide broader coverage than the minimum 7–10 requested and are directly aligned with the Online Bookstore SRS.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19"/>
        <w:gridCol w:w="1419"/>
        <w:gridCol w:w="1419"/>
        <w:gridCol w:w="1419"/>
        <w:gridCol w:w="1419"/>
        <w:gridCol w:w="1419"/>
        <w:gridCol w:w="1419"/>
      </w:tblGrid>
      <w:tr>
        <w:tc>
          <w:tcPr>
            <w:tcW w:type="dxa" w:w="1419"/>
            <w:vAlign w:val="center"/>
            <w:shd w:fill="D9EAF7"/>
          </w:tcPr>
          <w:p>
            <w:pPr>
              <w:spacing w:after="0"/>
            </w:pPr>
            <w:r/>
            <w:r>
              <w:rPr>
                <w:rFonts w:ascii="Calibri" w:hAnsi="Calibri"/>
                <w:b/>
                <w:sz w:val="14"/>
              </w:rPr>
              <w:t>TC ID</w:t>
            </w:r>
          </w:p>
        </w:tc>
        <w:tc>
          <w:tcPr>
            <w:tcW w:type="dxa" w:w="1419"/>
            <w:vAlign w:val="center"/>
            <w:shd w:fill="D9EAF7"/>
          </w:tcPr>
          <w:p>
            <w:pPr>
              <w:spacing w:after="0"/>
            </w:pPr>
            <w:r/>
            <w:r>
              <w:rPr>
                <w:rFonts w:ascii="Calibri" w:hAnsi="Calibri"/>
                <w:b/>
                <w:sz w:val="14"/>
              </w:rPr>
              <w:t>Test Case</w:t>
            </w:r>
          </w:p>
        </w:tc>
        <w:tc>
          <w:tcPr>
            <w:tcW w:type="dxa" w:w="1419"/>
            <w:vAlign w:val="center"/>
            <w:shd w:fill="D9EAF7"/>
          </w:tcPr>
          <w:p>
            <w:pPr>
              <w:spacing w:after="0"/>
            </w:pPr>
            <w:r/>
            <w:r>
              <w:rPr>
                <w:rFonts w:ascii="Calibri" w:hAnsi="Calibri"/>
                <w:b/>
                <w:sz w:val="14"/>
              </w:rPr>
              <w:t>SRS Ref.</w:t>
            </w:r>
          </w:p>
        </w:tc>
        <w:tc>
          <w:tcPr>
            <w:tcW w:type="dxa" w:w="1419"/>
            <w:vAlign w:val="center"/>
            <w:shd w:fill="D9EAF7"/>
          </w:tcPr>
          <w:p>
            <w:pPr>
              <w:spacing w:after="0"/>
            </w:pPr>
            <w:r/>
            <w:r>
              <w:rPr>
                <w:rFonts w:ascii="Calibri" w:hAnsi="Calibri"/>
                <w:b/>
                <w:sz w:val="14"/>
              </w:rPr>
              <w:t>Priority</w:t>
            </w:r>
          </w:p>
        </w:tc>
        <w:tc>
          <w:tcPr>
            <w:tcW w:type="dxa" w:w="1419"/>
            <w:vAlign w:val="center"/>
            <w:shd w:fill="D9EAF7"/>
          </w:tcPr>
          <w:p>
            <w:pPr>
              <w:spacing w:after="0"/>
            </w:pPr>
            <w:r/>
            <w:r>
              <w:rPr>
                <w:rFonts w:ascii="Calibri" w:hAnsi="Calibri"/>
                <w:b/>
                <w:sz w:val="14"/>
              </w:rPr>
              <w:t>Precondition / Action</w:t>
            </w:r>
          </w:p>
        </w:tc>
        <w:tc>
          <w:tcPr>
            <w:tcW w:type="dxa" w:w="1419"/>
            <w:vAlign w:val="center"/>
            <w:shd w:fill="D9EAF7"/>
          </w:tcPr>
          <w:p>
            <w:pPr>
              <w:spacing w:after="0"/>
            </w:pPr>
            <w:r/>
            <w:r>
              <w:rPr>
                <w:rFonts w:ascii="Calibri" w:hAnsi="Calibri"/>
                <w:b/>
                <w:sz w:val="14"/>
              </w:rPr>
              <w:t>Expected Result</w:t>
            </w:r>
          </w:p>
        </w:tc>
        <w:tc>
          <w:tcPr>
            <w:tcW w:type="dxa" w:w="1419"/>
            <w:vAlign w:val="center"/>
            <w:shd w:fill="D9EAF7"/>
          </w:tcPr>
          <w:p>
            <w:pPr>
              <w:spacing w:after="0"/>
            </w:pPr>
            <w:r/>
            <w:r>
              <w:rPr>
                <w:rFonts w:ascii="Calibri" w:hAnsi="Calibri"/>
                <w:b/>
                <w:sz w:val="14"/>
              </w:rPr>
              <w:t>Status</w:t>
            </w:r>
          </w:p>
        </w:tc>
      </w:tr>
      <w:tr>
        <w:tc>
          <w:tcPr>
            <w:tcW w:type="dxa" w:w="1419"/>
            <w:vAlign w:val="center"/>
          </w:tcPr>
          <w:p>
            <w:pPr>
              <w:spacing w:after="0"/>
            </w:pPr>
            <w:r/>
            <w:r>
              <w:rPr>
                <w:rFonts w:ascii="Calibri" w:hAnsi="Calibri"/>
                <w:b w:val="0"/>
                <w:sz w:val="14"/>
              </w:rPr>
              <w:t>TC-01</w:t>
            </w:r>
          </w:p>
        </w:tc>
        <w:tc>
          <w:tcPr>
            <w:tcW w:type="dxa" w:w="1419"/>
            <w:vAlign w:val="center"/>
          </w:tcPr>
          <w:p>
            <w:pPr>
              <w:spacing w:after="0"/>
            </w:pPr>
            <w:r/>
            <w:r>
              <w:rPr>
                <w:rFonts w:ascii="Calibri" w:hAnsi="Calibri"/>
                <w:b w:val="0"/>
                <w:sz w:val="14"/>
              </w:rPr>
              <w:t>Registration with valid data</w:t>
            </w:r>
          </w:p>
        </w:tc>
        <w:tc>
          <w:tcPr>
            <w:tcW w:type="dxa" w:w="1419"/>
            <w:vAlign w:val="center"/>
          </w:tcPr>
          <w:p>
            <w:pPr>
              <w:spacing w:after="0"/>
            </w:pPr>
            <w:r/>
            <w:r>
              <w:rPr>
                <w:rFonts w:ascii="Calibri" w:hAnsi="Calibri"/>
                <w:b w:val="0"/>
                <w:sz w:val="14"/>
              </w:rPr>
              <w:t>FR-01</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Enter valid buyer registration data.</w:t>
            </w:r>
          </w:p>
        </w:tc>
        <w:tc>
          <w:tcPr>
            <w:tcW w:type="dxa" w:w="1419"/>
            <w:vAlign w:val="center"/>
          </w:tcPr>
          <w:p>
            <w:pPr>
              <w:spacing w:after="0"/>
            </w:pPr>
            <w:r/>
            <w:r>
              <w:rPr>
                <w:rFonts w:ascii="Calibri" w:hAnsi="Calibri"/>
                <w:b w:val="0"/>
                <w:sz w:val="14"/>
              </w:rPr>
              <w:t>Account created unverified; six-digit OTP sent.</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TC-02</w:t>
            </w:r>
          </w:p>
        </w:tc>
        <w:tc>
          <w:tcPr>
            <w:tcW w:type="dxa" w:w="1419"/>
            <w:vAlign w:val="center"/>
          </w:tcPr>
          <w:p>
            <w:pPr>
              <w:spacing w:after="0"/>
            </w:pPr>
            <w:r/>
            <w:r>
              <w:rPr>
                <w:rFonts w:ascii="Calibri" w:hAnsi="Calibri"/>
                <w:b w:val="0"/>
                <w:sz w:val="14"/>
              </w:rPr>
              <w:t>OTP verification</w:t>
            </w:r>
          </w:p>
        </w:tc>
        <w:tc>
          <w:tcPr>
            <w:tcW w:type="dxa" w:w="1419"/>
            <w:vAlign w:val="center"/>
          </w:tcPr>
          <w:p>
            <w:pPr>
              <w:spacing w:after="0"/>
            </w:pPr>
            <w:r/>
            <w:r>
              <w:rPr>
                <w:rFonts w:ascii="Calibri" w:hAnsi="Calibri"/>
                <w:b w:val="0"/>
                <w:sz w:val="14"/>
              </w:rPr>
              <w:t>FR-02</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Enter correct OTP within ten minutes.</w:t>
            </w:r>
          </w:p>
        </w:tc>
        <w:tc>
          <w:tcPr>
            <w:tcW w:type="dxa" w:w="1419"/>
            <w:vAlign w:val="center"/>
          </w:tcPr>
          <w:p>
            <w:pPr>
              <w:spacing w:after="0"/>
            </w:pPr>
            <w:r/>
            <w:r>
              <w:rPr>
                <w:rFonts w:ascii="Calibri" w:hAnsi="Calibri"/>
                <w:b w:val="0"/>
                <w:sz w:val="14"/>
              </w:rPr>
              <w:t>Account becomes verified and can sign in.</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TC-03</w:t>
            </w:r>
          </w:p>
        </w:tc>
        <w:tc>
          <w:tcPr>
            <w:tcW w:type="dxa" w:w="1419"/>
            <w:vAlign w:val="center"/>
          </w:tcPr>
          <w:p>
            <w:pPr>
              <w:spacing w:after="0"/>
            </w:pPr>
            <w:r/>
            <w:r>
              <w:rPr>
                <w:rFonts w:ascii="Calibri" w:hAnsi="Calibri"/>
                <w:b w:val="0"/>
                <w:sz w:val="14"/>
              </w:rPr>
              <w:t>Login and token handling</w:t>
            </w:r>
          </w:p>
        </w:tc>
        <w:tc>
          <w:tcPr>
            <w:tcW w:type="dxa" w:w="1419"/>
            <w:vAlign w:val="center"/>
          </w:tcPr>
          <w:p>
            <w:pPr>
              <w:spacing w:after="0"/>
            </w:pPr>
            <w:r/>
            <w:r>
              <w:rPr>
                <w:rFonts w:ascii="Calibri" w:hAnsi="Calibri"/>
                <w:b w:val="0"/>
                <w:sz w:val="14"/>
              </w:rPr>
              <w:t>FR-03, NFR-03</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Login with verified valid credentials; inspect expiry/logout.</w:t>
            </w:r>
          </w:p>
        </w:tc>
        <w:tc>
          <w:tcPr>
            <w:tcW w:type="dxa" w:w="1419"/>
            <w:vAlign w:val="center"/>
          </w:tcPr>
          <w:p>
            <w:pPr>
              <w:spacing w:after="0"/>
            </w:pPr>
            <w:r/>
            <w:r>
              <w:rPr>
                <w:rFonts w:ascii="Calibri" w:hAnsi="Calibri"/>
                <w:b w:val="0"/>
                <w:sz w:val="14"/>
              </w:rPr>
              <w:t>Access token expires in 15 min; refresh token follows policy; logout invalidates refresh token.</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TC-04</w:t>
            </w:r>
          </w:p>
        </w:tc>
        <w:tc>
          <w:tcPr>
            <w:tcW w:type="dxa" w:w="1419"/>
            <w:vAlign w:val="center"/>
          </w:tcPr>
          <w:p>
            <w:pPr>
              <w:spacing w:after="0"/>
            </w:pPr>
            <w:r/>
            <w:r>
              <w:rPr>
                <w:rFonts w:ascii="Calibri" w:hAnsi="Calibri"/>
                <w:b w:val="0"/>
                <w:sz w:val="14"/>
              </w:rPr>
              <w:t>RBAC unauthorized access</w:t>
            </w:r>
          </w:p>
        </w:tc>
        <w:tc>
          <w:tcPr>
            <w:tcW w:type="dxa" w:w="1419"/>
            <w:vAlign w:val="center"/>
          </w:tcPr>
          <w:p>
            <w:pPr>
              <w:spacing w:after="0"/>
            </w:pPr>
            <w:r/>
            <w:r>
              <w:rPr>
                <w:rFonts w:ascii="Calibri" w:hAnsi="Calibri"/>
                <w:b w:val="0"/>
                <w:sz w:val="14"/>
              </w:rPr>
              <w:t>FR-06, NFR-03</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Call seller/admin endpoint using buyer credentials.</w:t>
            </w:r>
          </w:p>
        </w:tc>
        <w:tc>
          <w:tcPr>
            <w:tcW w:type="dxa" w:w="1419"/>
            <w:vAlign w:val="center"/>
          </w:tcPr>
          <w:p>
            <w:pPr>
              <w:spacing w:after="0"/>
            </w:pPr>
            <w:r/>
            <w:r>
              <w:rPr>
                <w:rFonts w:ascii="Calibri" w:hAnsi="Calibri"/>
                <w:b w:val="0"/>
                <w:sz w:val="14"/>
              </w:rPr>
              <w:t>Request rejected with HTTP 403 and security/audit handling occurs.</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TC-05</w:t>
            </w:r>
          </w:p>
        </w:tc>
        <w:tc>
          <w:tcPr>
            <w:tcW w:type="dxa" w:w="1419"/>
            <w:vAlign w:val="center"/>
          </w:tcPr>
          <w:p>
            <w:pPr>
              <w:spacing w:after="0"/>
            </w:pPr>
            <w:r/>
            <w:r>
              <w:rPr>
                <w:rFonts w:ascii="Calibri" w:hAnsi="Calibri"/>
                <w:b w:val="0"/>
                <w:sz w:val="14"/>
              </w:rPr>
              <w:t>Catalogue pagination</w:t>
            </w:r>
          </w:p>
        </w:tc>
        <w:tc>
          <w:tcPr>
            <w:tcW w:type="dxa" w:w="1419"/>
            <w:vAlign w:val="center"/>
          </w:tcPr>
          <w:p>
            <w:pPr>
              <w:spacing w:after="0"/>
            </w:pPr>
            <w:r/>
            <w:r>
              <w:rPr>
                <w:rFonts w:ascii="Calibri" w:hAnsi="Calibri"/>
                <w:b w:val="0"/>
                <w:sz w:val="14"/>
              </w:rPr>
              <w:t>FR-07</w:t>
            </w:r>
          </w:p>
        </w:tc>
        <w:tc>
          <w:tcPr>
            <w:tcW w:type="dxa" w:w="1419"/>
            <w:vAlign w:val="center"/>
          </w:tcPr>
          <w:p>
            <w:pPr>
              <w:spacing w:after="0"/>
            </w:pPr>
            <w:r/>
            <w:r>
              <w:rPr>
                <w:rFonts w:ascii="Calibri" w:hAnsi="Calibri"/>
                <w:b w:val="0"/>
                <w:sz w:val="14"/>
              </w:rPr>
              <w:t>Medium</w:t>
            </w:r>
          </w:p>
        </w:tc>
        <w:tc>
          <w:tcPr>
            <w:tcW w:type="dxa" w:w="1419"/>
            <w:vAlign w:val="center"/>
          </w:tcPr>
          <w:p>
            <w:pPr>
              <w:spacing w:after="0"/>
            </w:pPr>
            <w:r/>
            <w:r>
              <w:rPr>
                <w:rFonts w:ascii="Calibri" w:hAnsi="Calibri"/>
                <w:b w:val="0"/>
                <w:sz w:val="14"/>
              </w:rPr>
              <w:t>Open catalogue with seeded books.</w:t>
            </w:r>
          </w:p>
        </w:tc>
        <w:tc>
          <w:tcPr>
            <w:tcW w:type="dxa" w:w="1419"/>
            <w:vAlign w:val="center"/>
          </w:tcPr>
          <w:p>
            <w:pPr>
              <w:spacing w:after="0"/>
            </w:pPr>
            <w:r/>
            <w:r>
              <w:rPr>
                <w:rFonts w:ascii="Calibri" w:hAnsi="Calibri"/>
                <w:b w:val="0"/>
                <w:sz w:val="14"/>
              </w:rPr>
              <w:t>Twenty titles are returned per page with required summary fields.</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TC-06</w:t>
            </w:r>
          </w:p>
        </w:tc>
        <w:tc>
          <w:tcPr>
            <w:tcW w:type="dxa" w:w="1419"/>
            <w:vAlign w:val="center"/>
          </w:tcPr>
          <w:p>
            <w:pPr>
              <w:spacing w:after="0"/>
            </w:pPr>
            <w:r/>
            <w:r>
              <w:rPr>
                <w:rFonts w:ascii="Calibri" w:hAnsi="Calibri"/>
                <w:b w:val="0"/>
                <w:sz w:val="14"/>
              </w:rPr>
              <w:t>Search and filtering</w:t>
            </w:r>
          </w:p>
        </w:tc>
        <w:tc>
          <w:tcPr>
            <w:tcW w:type="dxa" w:w="1419"/>
            <w:vAlign w:val="center"/>
          </w:tcPr>
          <w:p>
            <w:pPr>
              <w:spacing w:after="0"/>
            </w:pPr>
            <w:r/>
            <w:r>
              <w:rPr>
                <w:rFonts w:ascii="Calibri" w:hAnsi="Calibri"/>
                <w:b w:val="0"/>
                <w:sz w:val="14"/>
              </w:rPr>
              <w:t>FR-08, FR-09</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Search by title/author/ISBN/publisher and apply filters.</w:t>
            </w:r>
          </w:p>
        </w:tc>
        <w:tc>
          <w:tcPr>
            <w:tcW w:type="dxa" w:w="1419"/>
            <w:vAlign w:val="center"/>
          </w:tcPr>
          <w:p>
            <w:pPr>
              <w:spacing w:after="0"/>
            </w:pPr>
            <w:r/>
            <w:r>
              <w:rPr>
                <w:rFonts w:ascii="Calibri" w:hAnsi="Calibri"/>
                <w:b w:val="0"/>
                <w:sz w:val="14"/>
              </w:rPr>
              <w:t>Correct ranked/filter results returned within performance target.</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TC-07</w:t>
            </w:r>
          </w:p>
        </w:tc>
        <w:tc>
          <w:tcPr>
            <w:tcW w:type="dxa" w:w="1419"/>
            <w:vAlign w:val="center"/>
          </w:tcPr>
          <w:p>
            <w:pPr>
              <w:spacing w:after="0"/>
            </w:pPr>
            <w:r/>
            <w:r>
              <w:rPr>
                <w:rFonts w:ascii="Calibri" w:hAnsi="Calibri"/>
                <w:b w:val="0"/>
                <w:sz w:val="14"/>
              </w:rPr>
              <w:t>Verified-purchase review</w:t>
            </w:r>
          </w:p>
        </w:tc>
        <w:tc>
          <w:tcPr>
            <w:tcW w:type="dxa" w:w="1419"/>
            <w:vAlign w:val="center"/>
          </w:tcPr>
          <w:p>
            <w:pPr>
              <w:spacing w:after="0"/>
            </w:pPr>
            <w:r/>
            <w:r>
              <w:rPr>
                <w:rFonts w:ascii="Calibri" w:hAnsi="Calibri"/>
                <w:b w:val="0"/>
                <w:sz w:val="14"/>
              </w:rPr>
              <w:t>FR-11</w:t>
            </w:r>
          </w:p>
        </w:tc>
        <w:tc>
          <w:tcPr>
            <w:tcW w:type="dxa" w:w="1419"/>
            <w:vAlign w:val="center"/>
          </w:tcPr>
          <w:p>
            <w:pPr>
              <w:spacing w:after="0"/>
            </w:pPr>
            <w:r/>
            <w:r>
              <w:rPr>
                <w:rFonts w:ascii="Calibri" w:hAnsi="Calibri"/>
                <w:b w:val="0"/>
                <w:sz w:val="14"/>
              </w:rPr>
              <w:t>Medium</w:t>
            </w:r>
          </w:p>
        </w:tc>
        <w:tc>
          <w:tcPr>
            <w:tcW w:type="dxa" w:w="1419"/>
            <w:vAlign w:val="center"/>
          </w:tcPr>
          <w:p>
            <w:pPr>
              <w:spacing w:after="0"/>
            </w:pPr>
            <w:r/>
            <w:r>
              <w:rPr>
                <w:rFonts w:ascii="Calibri" w:hAnsi="Calibri"/>
                <w:b w:val="0"/>
                <w:sz w:val="14"/>
              </w:rPr>
              <w:t>Attempt review before delivery, then after DELIVERED.</w:t>
            </w:r>
          </w:p>
        </w:tc>
        <w:tc>
          <w:tcPr>
            <w:tcW w:type="dxa" w:w="1419"/>
            <w:vAlign w:val="center"/>
          </w:tcPr>
          <w:p>
            <w:pPr>
              <w:spacing w:after="0"/>
            </w:pPr>
            <w:r/>
            <w:r>
              <w:rPr>
                <w:rFonts w:ascii="Calibri" w:hAnsi="Calibri"/>
                <w:b w:val="0"/>
                <w:sz w:val="14"/>
              </w:rPr>
              <w:t>Pre-delivery review rejected; delivered purchase can submit one 1–5 rating.</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TC-08</w:t>
            </w:r>
          </w:p>
        </w:tc>
        <w:tc>
          <w:tcPr>
            <w:tcW w:type="dxa" w:w="1419"/>
            <w:vAlign w:val="center"/>
          </w:tcPr>
          <w:p>
            <w:pPr>
              <w:spacing w:after="0"/>
            </w:pPr>
            <w:r/>
            <w:r>
              <w:rPr>
                <w:rFonts w:ascii="Calibri" w:hAnsi="Calibri"/>
                <w:b w:val="0"/>
                <w:sz w:val="14"/>
              </w:rPr>
              <w:t>Cart quantity and persistence</w:t>
            </w:r>
          </w:p>
        </w:tc>
        <w:tc>
          <w:tcPr>
            <w:tcW w:type="dxa" w:w="1419"/>
            <w:vAlign w:val="center"/>
          </w:tcPr>
          <w:p>
            <w:pPr>
              <w:spacing w:after="0"/>
            </w:pPr>
            <w:r/>
            <w:r>
              <w:rPr>
                <w:rFonts w:ascii="Calibri" w:hAnsi="Calibri"/>
                <w:b w:val="0"/>
                <w:sz w:val="14"/>
              </w:rPr>
              <w:t>FR-13</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Add listing, change quantity, logout/login, return to cart.</w:t>
            </w:r>
          </w:p>
        </w:tc>
        <w:tc>
          <w:tcPr>
            <w:tcW w:type="dxa" w:w="1419"/>
            <w:vAlign w:val="center"/>
          </w:tcPr>
          <w:p>
            <w:pPr>
              <w:spacing w:after="0"/>
            </w:pPr>
            <w:r/>
            <w:r>
              <w:rPr>
                <w:rFonts w:ascii="Calibri" w:hAnsi="Calibri"/>
                <w:b w:val="0"/>
                <w:sz w:val="14"/>
              </w:rPr>
              <w:t>Quantity obeys stock and 1–10 limits; cart persists across sessions.</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TC-09</w:t>
            </w:r>
          </w:p>
        </w:tc>
        <w:tc>
          <w:tcPr>
            <w:tcW w:type="dxa" w:w="1419"/>
            <w:vAlign w:val="center"/>
          </w:tcPr>
          <w:p>
            <w:pPr>
              <w:spacing w:after="0"/>
            </w:pPr>
            <w:r/>
            <w:r>
              <w:rPr>
                <w:rFonts w:ascii="Calibri" w:hAnsi="Calibri"/>
                <w:b w:val="0"/>
                <w:sz w:val="14"/>
              </w:rPr>
              <w:t>Checkout and payment success</w:t>
            </w:r>
          </w:p>
        </w:tc>
        <w:tc>
          <w:tcPr>
            <w:tcW w:type="dxa" w:w="1419"/>
            <w:vAlign w:val="center"/>
          </w:tcPr>
          <w:p>
            <w:pPr>
              <w:spacing w:after="0"/>
            </w:pPr>
            <w:r/>
            <w:r>
              <w:rPr>
                <w:rFonts w:ascii="Calibri" w:hAnsi="Calibri"/>
                <w:b w:val="0"/>
                <w:sz w:val="14"/>
              </w:rPr>
              <w:t>FR-15, FR-16, FR-17</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Checkout valid cart and complete sandbox payment.</w:t>
            </w:r>
          </w:p>
        </w:tc>
        <w:tc>
          <w:tcPr>
            <w:tcW w:type="dxa" w:w="1419"/>
            <w:vAlign w:val="center"/>
          </w:tcPr>
          <w:p>
            <w:pPr>
              <w:spacing w:after="0"/>
            </w:pPr>
            <w:r/>
            <w:r>
              <w:rPr>
                <w:rFonts w:ascii="Calibri" w:hAnsi="Calibri"/>
                <w:b w:val="0"/>
                <w:sz w:val="14"/>
              </w:rPr>
              <w:t>Order confirmed only after verified success callback; stock decremented; invoice generated.</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TC-10</w:t>
            </w:r>
          </w:p>
        </w:tc>
        <w:tc>
          <w:tcPr>
            <w:tcW w:type="dxa" w:w="1419"/>
            <w:vAlign w:val="center"/>
          </w:tcPr>
          <w:p>
            <w:pPr>
              <w:spacing w:after="0"/>
            </w:pPr>
            <w:r/>
            <w:r>
              <w:rPr>
                <w:rFonts w:ascii="Calibri" w:hAnsi="Calibri"/>
                <w:b w:val="0"/>
                <w:sz w:val="14"/>
              </w:rPr>
              <w:t>Order cancellation/return</w:t>
            </w:r>
          </w:p>
        </w:tc>
        <w:tc>
          <w:tcPr>
            <w:tcW w:type="dxa" w:w="1419"/>
            <w:vAlign w:val="center"/>
          </w:tcPr>
          <w:p>
            <w:pPr>
              <w:spacing w:after="0"/>
            </w:pPr>
            <w:r/>
            <w:r>
              <w:rPr>
                <w:rFonts w:ascii="Calibri" w:hAnsi="Calibri"/>
                <w:b w:val="0"/>
                <w:sz w:val="14"/>
              </w:rPr>
              <w:t>FR-18</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Cancel before dispatch; attempt return after delivery.</w:t>
            </w:r>
          </w:p>
        </w:tc>
        <w:tc>
          <w:tcPr>
            <w:tcW w:type="dxa" w:w="1419"/>
            <w:vAlign w:val="center"/>
          </w:tcPr>
          <w:p>
            <w:pPr>
              <w:spacing w:after="0"/>
            </w:pPr>
            <w:r/>
            <w:r>
              <w:rPr>
                <w:rFonts w:ascii="Calibri" w:hAnsi="Calibri"/>
                <w:b w:val="0"/>
                <w:sz w:val="14"/>
              </w:rPr>
              <w:t>Cancellation accepted before dispatch; return path available within seven days of delivery.</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TC-11</w:t>
            </w:r>
          </w:p>
        </w:tc>
        <w:tc>
          <w:tcPr>
            <w:tcW w:type="dxa" w:w="1419"/>
            <w:vAlign w:val="center"/>
          </w:tcPr>
          <w:p>
            <w:pPr>
              <w:spacing w:after="0"/>
            </w:pPr>
            <w:r/>
            <w:r>
              <w:rPr>
                <w:rFonts w:ascii="Calibri" w:hAnsi="Calibri"/>
                <w:b w:val="0"/>
                <w:sz w:val="14"/>
              </w:rPr>
              <w:t>Seller listing/inventory</w:t>
            </w:r>
          </w:p>
        </w:tc>
        <w:tc>
          <w:tcPr>
            <w:tcW w:type="dxa" w:w="1419"/>
            <w:vAlign w:val="center"/>
          </w:tcPr>
          <w:p>
            <w:pPr>
              <w:spacing w:after="0"/>
            </w:pPr>
            <w:r/>
            <w:r>
              <w:rPr>
                <w:rFonts w:ascii="Calibri" w:hAnsi="Calibri"/>
                <w:b w:val="0"/>
                <w:sz w:val="14"/>
              </w:rPr>
              <w:t>FR-19, FR-20, FR-21</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Create listing, set stock/price, dispatch an order.</w:t>
            </w:r>
          </w:p>
        </w:tc>
        <w:tc>
          <w:tcPr>
            <w:tcW w:type="dxa" w:w="1419"/>
            <w:vAlign w:val="center"/>
          </w:tcPr>
          <w:p>
            <w:pPr>
              <w:spacing w:after="0"/>
            </w:pPr>
            <w:r/>
            <w:r>
              <w:rPr>
                <w:rFonts w:ascii="Calibri" w:hAnsi="Calibri"/>
                <w:b w:val="0"/>
                <w:sz w:val="14"/>
              </w:rPr>
              <w:t>Price cannot exceed MRP; low-stock/out-of-stock rules and shipment record work.</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TC-12</w:t>
            </w:r>
          </w:p>
        </w:tc>
        <w:tc>
          <w:tcPr>
            <w:tcW w:type="dxa" w:w="1419"/>
            <w:vAlign w:val="center"/>
          </w:tcPr>
          <w:p>
            <w:pPr>
              <w:spacing w:after="0"/>
            </w:pPr>
            <w:r/>
            <w:r>
              <w:rPr>
                <w:rFonts w:ascii="Calibri" w:hAnsi="Calibri"/>
                <w:b w:val="0"/>
                <w:sz w:val="14"/>
              </w:rPr>
              <w:t>Administrator moderation/reporting</w:t>
            </w:r>
          </w:p>
        </w:tc>
        <w:tc>
          <w:tcPr>
            <w:tcW w:type="dxa" w:w="1419"/>
            <w:vAlign w:val="center"/>
          </w:tcPr>
          <w:p>
            <w:pPr>
              <w:spacing w:after="0"/>
            </w:pPr>
            <w:r/>
            <w:r>
              <w:rPr>
                <w:rFonts w:ascii="Calibri" w:hAnsi="Calibri"/>
                <w:b w:val="0"/>
                <w:sz w:val="14"/>
              </w:rPr>
              <w:t>FR-23, FR-24, NFR-08</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Block listing/user and generate monthly report.</w:t>
            </w:r>
          </w:p>
        </w:tc>
        <w:tc>
          <w:tcPr>
            <w:tcW w:type="dxa" w:w="1419"/>
            <w:vAlign w:val="center"/>
          </w:tcPr>
          <w:p>
            <w:pPr>
              <w:spacing w:after="0"/>
            </w:pPr>
            <w:r/>
            <w:r>
              <w:rPr>
                <w:rFonts w:ascii="Calibri" w:hAnsi="Calibri"/>
                <w:b w:val="0"/>
                <w:sz w:val="14"/>
              </w:rPr>
              <w:t>Object is removed from buyer view, reason/action is audited, report generated/exported.</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TC-13</w:t>
            </w:r>
          </w:p>
        </w:tc>
        <w:tc>
          <w:tcPr>
            <w:tcW w:type="dxa" w:w="1419"/>
            <w:vAlign w:val="center"/>
          </w:tcPr>
          <w:p>
            <w:pPr>
              <w:spacing w:after="0"/>
            </w:pPr>
            <w:r/>
            <w:r>
              <w:rPr>
                <w:rFonts w:ascii="Calibri" w:hAnsi="Calibri"/>
                <w:b w:val="0"/>
                <w:sz w:val="14"/>
              </w:rPr>
              <w:t>Search performance</w:t>
            </w:r>
          </w:p>
        </w:tc>
        <w:tc>
          <w:tcPr>
            <w:tcW w:type="dxa" w:w="1419"/>
            <w:vAlign w:val="center"/>
          </w:tcPr>
          <w:p>
            <w:pPr>
              <w:spacing w:after="0"/>
            </w:pPr>
            <w:r/>
            <w:r>
              <w:rPr>
                <w:rFonts w:ascii="Calibri" w:hAnsi="Calibri"/>
                <w:b w:val="0"/>
                <w:sz w:val="14"/>
              </w:rPr>
              <w:t>NFR-01</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Run search under reference load of 10,000 listings/200 concurrent users.</w:t>
            </w:r>
          </w:p>
        </w:tc>
        <w:tc>
          <w:tcPr>
            <w:tcW w:type="dxa" w:w="1419"/>
            <w:vAlign w:val="center"/>
          </w:tcPr>
          <w:p>
            <w:pPr>
              <w:spacing w:after="0"/>
            </w:pPr>
            <w:r/>
            <w:r>
              <w:rPr>
                <w:rFonts w:ascii="Calibri" w:hAnsi="Calibri"/>
                <w:b w:val="0"/>
                <w:sz w:val="14"/>
              </w:rPr>
              <w:t>95th-percentile catalogue search is within 2 seconds and indexed query plan is used.</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TC-14</w:t>
            </w:r>
          </w:p>
        </w:tc>
        <w:tc>
          <w:tcPr>
            <w:tcW w:type="dxa" w:w="1419"/>
            <w:vAlign w:val="center"/>
          </w:tcPr>
          <w:p>
            <w:pPr>
              <w:spacing w:after="0"/>
            </w:pPr>
            <w:r/>
            <w:r>
              <w:rPr>
                <w:rFonts w:ascii="Calibri" w:hAnsi="Calibri"/>
                <w:b w:val="0"/>
                <w:sz w:val="14"/>
              </w:rPr>
              <w:t>Security validation suite</w:t>
            </w:r>
          </w:p>
        </w:tc>
        <w:tc>
          <w:tcPr>
            <w:tcW w:type="dxa" w:w="1419"/>
            <w:vAlign w:val="center"/>
          </w:tcPr>
          <w:p>
            <w:pPr>
              <w:spacing w:after="0"/>
            </w:pPr>
            <w:r/>
            <w:r>
              <w:rPr>
                <w:rFonts w:ascii="Calibri" w:hAnsi="Calibri"/>
                <w:b w:val="0"/>
                <w:sz w:val="14"/>
              </w:rPr>
              <w:t>NFR-03, NFR-08</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Test TLS, input validation, rate limiting, payment callback signature and audit events.</w:t>
            </w:r>
          </w:p>
        </w:tc>
        <w:tc>
          <w:tcPr>
            <w:tcW w:type="dxa" w:w="1419"/>
            <w:vAlign w:val="center"/>
          </w:tcPr>
          <w:p>
            <w:pPr>
              <w:spacing w:after="0"/>
            </w:pPr>
            <w:r/>
            <w:r>
              <w:rPr>
                <w:rFonts w:ascii="Calibri" w:hAnsi="Calibri"/>
                <w:b w:val="0"/>
                <w:sz w:val="14"/>
              </w:rPr>
              <w:t>Security controls pass; invalid/unauthorized requests are rejected; events are auditable.</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TC-15</w:t>
            </w:r>
          </w:p>
        </w:tc>
        <w:tc>
          <w:tcPr>
            <w:tcW w:type="dxa" w:w="1419"/>
            <w:vAlign w:val="center"/>
          </w:tcPr>
          <w:p>
            <w:pPr>
              <w:spacing w:after="0"/>
            </w:pPr>
            <w:r/>
            <w:r>
              <w:rPr>
                <w:rFonts w:ascii="Calibri" w:hAnsi="Calibri"/>
                <w:b w:val="0"/>
                <w:sz w:val="14"/>
              </w:rPr>
              <w:t>Responsive/accessibility/browser compatibility</w:t>
            </w:r>
          </w:p>
        </w:tc>
        <w:tc>
          <w:tcPr>
            <w:tcW w:type="dxa" w:w="1419"/>
            <w:vAlign w:val="center"/>
          </w:tcPr>
          <w:p>
            <w:pPr>
              <w:spacing w:after="0"/>
            </w:pPr>
            <w:r/>
            <w:r>
              <w:rPr>
                <w:rFonts w:ascii="Calibri" w:hAnsi="Calibri"/>
                <w:b w:val="0"/>
                <w:sz w:val="14"/>
              </w:rPr>
              <w:t>NFR-04, NFR-07</w:t>
            </w:r>
          </w:p>
        </w:tc>
        <w:tc>
          <w:tcPr>
            <w:tcW w:type="dxa" w:w="1419"/>
            <w:vAlign w:val="center"/>
          </w:tcPr>
          <w:p>
            <w:pPr>
              <w:spacing w:after="0"/>
            </w:pPr>
            <w:r/>
            <w:r>
              <w:rPr>
                <w:rFonts w:ascii="Calibri" w:hAnsi="Calibri"/>
                <w:b w:val="0"/>
                <w:sz w:val="14"/>
              </w:rPr>
              <w:t>Medium</w:t>
            </w:r>
          </w:p>
        </w:tc>
        <w:tc>
          <w:tcPr>
            <w:tcW w:type="dxa" w:w="1419"/>
            <w:vAlign w:val="center"/>
          </w:tcPr>
          <w:p>
            <w:pPr>
              <w:spacing w:after="0"/>
            </w:pPr>
            <w:r/>
            <w:r>
              <w:rPr>
                <w:rFonts w:ascii="Calibri" w:hAnsi="Calibri"/>
                <w:b w:val="0"/>
                <w:sz w:val="14"/>
              </w:rPr>
              <w:t>Run buyer flow at 360px and supported browsers; keyboard navigate.</w:t>
            </w:r>
          </w:p>
        </w:tc>
        <w:tc>
          <w:tcPr>
            <w:tcW w:type="dxa" w:w="1419"/>
            <w:vAlign w:val="center"/>
          </w:tcPr>
          <w:p>
            <w:pPr>
              <w:spacing w:after="0"/>
            </w:pPr>
            <w:r/>
            <w:r>
              <w:rPr>
                <w:rFonts w:ascii="Calibri" w:hAnsi="Calibri"/>
                <w:b w:val="0"/>
                <w:sz w:val="14"/>
              </w:rPr>
              <w:t>Checkout usable within four screens; controls keyboard reachable; supported browsers function correctly.</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TC-16</w:t>
            </w:r>
          </w:p>
        </w:tc>
        <w:tc>
          <w:tcPr>
            <w:tcW w:type="dxa" w:w="1419"/>
            <w:vAlign w:val="center"/>
          </w:tcPr>
          <w:p>
            <w:pPr>
              <w:spacing w:after="0"/>
            </w:pPr>
            <w:r/>
            <w:r>
              <w:rPr>
                <w:rFonts w:ascii="Calibri" w:hAnsi="Calibri"/>
                <w:b w:val="0"/>
                <w:sz w:val="14"/>
              </w:rPr>
              <w:t>Concurrent last-stock purchase</w:t>
            </w:r>
          </w:p>
        </w:tc>
        <w:tc>
          <w:tcPr>
            <w:tcW w:type="dxa" w:w="1419"/>
            <w:vAlign w:val="center"/>
          </w:tcPr>
          <w:p>
            <w:pPr>
              <w:spacing w:after="0"/>
            </w:pPr>
            <w:r/>
            <w:r>
              <w:rPr>
                <w:rFonts w:ascii="Calibri" w:hAnsi="Calibri"/>
                <w:b w:val="0"/>
                <w:sz w:val="14"/>
              </w:rPr>
              <w:t>NFR-05</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Two concurrent orders attempt to purchase the last copy.</w:t>
            </w:r>
          </w:p>
        </w:tc>
        <w:tc>
          <w:tcPr>
            <w:tcW w:type="dxa" w:w="1419"/>
            <w:vAlign w:val="center"/>
          </w:tcPr>
          <w:p>
            <w:pPr>
              <w:spacing w:after="0"/>
            </w:pPr>
            <w:r/>
            <w:r>
              <w:rPr>
                <w:rFonts w:ascii="Calibri" w:hAnsi="Calibri"/>
                <w:b w:val="0"/>
                <w:sz w:val="14"/>
              </w:rPr>
              <w:t>Exactly one succeeds in decrementing the final stock; listing is not oversold.</w:t>
            </w:r>
          </w:p>
        </w:tc>
        <w:tc>
          <w:tcPr>
            <w:tcW w:type="dxa" w:w="1419"/>
            <w:vAlign w:val="center"/>
          </w:tcPr>
          <w:p>
            <w:pPr>
              <w:spacing w:after="0"/>
            </w:pPr>
            <w:r/>
            <w:r>
              <w:rPr>
                <w:rFonts w:ascii="Calibri" w:hAnsi="Calibri"/>
                <w:b w:val="0"/>
                <w:sz w:val="14"/>
              </w:rPr>
              <w:t>Pending</w:t>
            </w:r>
          </w:p>
        </w:tc>
      </w:tr>
    </w:tbl>
    <w:p>
      <w:pPr>
        <w:spacing w:after="0"/>
      </w:pPr>
    </w:p>
    <w:p>
      <w:pPr>
        <w:spacing w:before="100" w:after="80"/>
      </w:pPr>
      <w:r>
        <w:rPr>
          <w:rFonts w:ascii="Calibri" w:hAnsi="Calibri"/>
          <w:b/>
          <w:sz w:val="22"/>
        </w:rPr>
        <w:t>Appendix B: Test Case Execution Record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56"/>
        <w:gridCol w:w="1656"/>
        <w:gridCol w:w="1656"/>
        <w:gridCol w:w="1656"/>
        <w:gridCol w:w="1656"/>
        <w:gridCol w:w="1656"/>
      </w:tblGrid>
      <w:tr>
        <w:tc>
          <w:tcPr>
            <w:tcW w:type="dxa" w:w="1656"/>
            <w:vAlign w:val="center"/>
            <w:shd w:fill="D9EAF7"/>
          </w:tcPr>
          <w:p>
            <w:pPr>
              <w:spacing w:after="0"/>
            </w:pPr>
            <w:r/>
            <w:r>
              <w:rPr>
                <w:rFonts w:ascii="Calibri" w:hAnsi="Calibri"/>
                <w:b/>
                <w:sz w:val="15"/>
              </w:rPr>
              <w:t>TC ID</w:t>
            </w:r>
          </w:p>
        </w:tc>
        <w:tc>
          <w:tcPr>
            <w:tcW w:type="dxa" w:w="1656"/>
            <w:vAlign w:val="center"/>
            <w:shd w:fill="D9EAF7"/>
          </w:tcPr>
          <w:p>
            <w:pPr>
              <w:spacing w:after="0"/>
            </w:pPr>
            <w:r/>
            <w:r>
              <w:rPr>
                <w:rFonts w:ascii="Calibri" w:hAnsi="Calibri"/>
                <w:b/>
                <w:sz w:val="15"/>
              </w:rPr>
              <w:t>Actual Result</w:t>
            </w:r>
          </w:p>
        </w:tc>
        <w:tc>
          <w:tcPr>
            <w:tcW w:type="dxa" w:w="1656"/>
            <w:vAlign w:val="center"/>
            <w:shd w:fill="D9EAF7"/>
          </w:tcPr>
          <w:p>
            <w:pPr>
              <w:spacing w:after="0"/>
            </w:pPr>
            <w:r/>
            <w:r>
              <w:rPr>
                <w:rFonts w:ascii="Calibri" w:hAnsi="Calibri"/>
                <w:b/>
                <w:sz w:val="15"/>
              </w:rPr>
              <w:t>Pass/Fail</w:t>
            </w:r>
          </w:p>
        </w:tc>
        <w:tc>
          <w:tcPr>
            <w:tcW w:type="dxa" w:w="1656"/>
            <w:vAlign w:val="center"/>
            <w:shd w:fill="D9EAF7"/>
          </w:tcPr>
          <w:p>
            <w:pPr>
              <w:spacing w:after="0"/>
            </w:pPr>
            <w:r/>
            <w:r>
              <w:rPr>
                <w:rFonts w:ascii="Calibri" w:hAnsi="Calibri"/>
                <w:b/>
                <w:sz w:val="15"/>
              </w:rPr>
              <w:t>Defect ID</w:t>
            </w:r>
          </w:p>
        </w:tc>
        <w:tc>
          <w:tcPr>
            <w:tcW w:type="dxa" w:w="1656"/>
            <w:vAlign w:val="center"/>
            <w:shd w:fill="D9EAF7"/>
          </w:tcPr>
          <w:p>
            <w:pPr>
              <w:spacing w:after="0"/>
            </w:pPr>
            <w:r/>
            <w:r>
              <w:rPr>
                <w:rFonts w:ascii="Calibri" w:hAnsi="Calibri"/>
                <w:b/>
                <w:sz w:val="15"/>
              </w:rPr>
              <w:t>Executed By</w:t>
            </w:r>
          </w:p>
        </w:tc>
        <w:tc>
          <w:tcPr>
            <w:tcW w:type="dxa" w:w="1656"/>
            <w:vAlign w:val="center"/>
            <w:shd w:fill="D9EAF7"/>
          </w:tcPr>
          <w:p>
            <w:pPr>
              <w:spacing w:after="0"/>
            </w:pPr>
            <w:r/>
            <w:r>
              <w:rPr>
                <w:rFonts w:ascii="Calibri" w:hAnsi="Calibri"/>
                <w:b/>
                <w:sz w:val="15"/>
              </w:rPr>
              <w:t>Date</w:t>
            </w:r>
          </w:p>
        </w:tc>
      </w:tr>
      <w:tr>
        <w:tc>
          <w:tcPr>
            <w:tcW w:type="dxa" w:w="1656"/>
            <w:vAlign w:val="center"/>
          </w:tcPr>
          <w:p>
            <w:pPr>
              <w:spacing w:after="0"/>
            </w:pPr>
            <w:r/>
            <w:r>
              <w:rPr>
                <w:rFonts w:ascii="Calibri" w:hAnsi="Calibri"/>
                <w:b w:val="0"/>
                <w:sz w:val="15"/>
              </w:rPr>
              <w:t>TC-01</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TC-02</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TC-03</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TC-04</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TC-05</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TC-06</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TC-07</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TC-08</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TC-09</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TC-10</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TC-11</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TC-12</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TC-13</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TC-14</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TC-15</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TC-16</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bl>
    <w:p>
      <w:pPr>
        <w:spacing w:after="0"/>
      </w:pPr>
    </w:p>
    <w:sectPr>
      <w:footerReference w:type="default" r:id="rId9"/>
      <w:pgSz w:w="12240" w:h="15840" w:orient="portrait"/>
      <w:pgMar w:top="1080" w:right="1152" w:bottom="1080" w:left="1152"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Online Bookstore STP - Group 2 | Version 1.0 | </w:t>
    </w:r>
    <w:r>
      <w:rPr>
        <w:sz w:val="16"/>
      </w:rPr>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5EE954D"/>
  <w15:docId w15:val="{1685ED14-00DA-4B23-91B3-6E96ECC7F035}"/>
  <w:rsids>
    <w:rsidRoot w:val="0FBA8AAE"/>
    <w:rsid w:val="0FBA8AAE"/>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paragraph" w:styleId="Normal" w:default="1">
    <w:name w:val="Normal"/>
    <w:pPr>
      <w:spacing w:after="80"/>
    </w:pPr>
    <w:rPr>
      <w:rFonts w:ascii="Calibri" w:hAnsi="Calibri"/>
      <w:sz w:val="20"/>
    </w:rPr>
  </w:style>
  <w:style w:type="table" w:styleId="TableNormal" w:default="1">
    <w:name w:val="Normal Table"/>
  </w:style>
  <w:style w:type="paragraph" w:styleId="Heading1">
    <w:name w:val="heading 1"/>
    <w:basedOn w:val="Normal"/>
    <w:next w:val="Normal"/>
    <w:pPr>
      <w:keepNext w:val="1"/>
      <w:keepLines w:val="1"/>
      <w:spacing w:before="480" w:after="0" w:lineRule="auto"/>
    </w:pPr>
    <w:rPr>
      <w:rFonts w:ascii="Calibri" w:hAnsi="Calibri" w:eastAsia="Calibri" w:cs="Calibri"/>
      <w:b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i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EC2033-1F9D-4D6D-B194-AA8D8BB2E5EC}"/>
</file>

<file path=customXml/itemProps2.xml><?xml version="1.0" encoding="utf-8"?>
<ds:datastoreItem xmlns:ds="http://schemas.openxmlformats.org/officeDocument/2006/customXml" ds:itemID="{E88DB2DD-D36C-4B9C-9DFA-8D61386B17C2}"/>
</file>

<file path=customXml/itemProps3.xml><?xml version="1.0" encoding="utf-8"?>
<ds:datastoreItem xmlns:ds="http://schemas.openxmlformats.org/officeDocument/2006/customXml" ds:itemID="{9BB8582A-D6DC-4C57-A3B0-4A34105F2EE0}"/>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