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738D5">
      <w:pPr>
        <w:spacing w:after="40"/>
        <w:jc w:val="center"/>
      </w:pPr>
      <w:r>
        <w:rPr>
          <w:rFonts w:ascii="Calibri" w:hAnsi="Calibri" w:eastAsia="Calibri" w:cs="Calibri"/>
          <w:b/>
          <w:bCs/>
          <w:sz w:val="26"/>
          <w:szCs w:val="26"/>
        </w:rPr>
        <w:t>Requirements Engineering &amp; UML Use-Case Modelling</w:t>
      </w:r>
    </w:p>
    <w:p w14:paraId="56935DA0">
      <w:pPr>
        <w:spacing w:after="40"/>
        <w:jc w:val="center"/>
        <w:rPr>
          <w:rFonts w:hint="default" w:ascii="Calibri" w:hAnsi="Calibri" w:eastAsia="Calibri" w:cs="Calibri"/>
          <w:b/>
          <w:bCs/>
          <w:sz w:val="26"/>
          <w:szCs w:val="26"/>
          <w:lang w:val="en-IN"/>
        </w:rPr>
      </w:pPr>
      <w:r>
        <w:rPr>
          <w:rFonts w:ascii="Calibri" w:hAnsi="Calibri" w:eastAsia="Calibri" w:cs="Calibri"/>
          <w:b/>
          <w:bCs/>
          <w:sz w:val="26"/>
          <w:szCs w:val="26"/>
        </w:rPr>
        <w:t>PES1UG24CS144-</w:t>
      </w:r>
      <w:r>
        <w:rPr>
          <w:rFonts w:hint="default" w:ascii="Calibri" w:hAnsi="Calibri" w:eastAsia="Calibri" w:cs="Calibri"/>
          <w:b/>
          <w:bCs/>
          <w:sz w:val="26"/>
          <w:szCs w:val="26"/>
        </w:rPr>
        <w:t>Clinical Trial Subject Recruitment Engine</w:t>
      </w:r>
    </w:p>
    <w:p w14:paraId="285E1D57">
      <w:pPr>
        <w:spacing w:after="160"/>
      </w:pPr>
      <w:bookmarkStart w:id="0" w:name="_GoBack"/>
      <w:bookmarkEnd w:id="0"/>
      <w:r>
        <w:rPr>
          <w:rFonts w:ascii="Calibri" w:hAnsi="Calibri" w:eastAsia="Calibri" w:cs="Calibri"/>
          <w:sz w:val="20"/>
          <w:szCs w:val="20"/>
        </w:rPr>
        <w:t>Actors: Trial Candidate, Clinical Researcher, Notification Service.</w:t>
      </w:r>
    </w:p>
    <w:tbl>
      <w:tblPr>
        <w:tblStyle w:val="9"/>
        <w:tblW w:w="153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00"/>
        <w:gridCol w:w="4300"/>
        <w:gridCol w:w="900"/>
        <w:gridCol w:w="4700"/>
        <w:gridCol w:w="3098"/>
      </w:tblGrid>
      <w:tr w14:paraId="61100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E1F5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3A6A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3682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FB55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D8DF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DE86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Rationale</w:t>
            </w:r>
          </w:p>
        </w:tc>
      </w:tr>
      <w:tr w14:paraId="5E46B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9FF8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1F0F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3F0A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compare a trial candidate’s questionnaire answers against the inclusion and exclusion criteria of the selected trial and mark the candidate as Eligible or Not Eligible.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F737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E95B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A candidate who meets an exclusion criterion is marked Not Eligible and the failed criteria are listed.</w:t>
            </w:r>
          </w:p>
          <w:p w14:paraId="6ABAD2A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Such a candidate is marked Eligible.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BF1D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Automated pre-screening is the main purpose of the system and prevents unsafe enrolment.</w:t>
            </w:r>
          </w:p>
        </w:tc>
      </w:tr>
      <w:tr w14:paraId="7E895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A18C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D0307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EFC8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allow a Clinical Researcher to add and edit the inclusion and exclusion criteria of a trial.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08D0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E8933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Criteria saved by the researcher are used in the very next screening.</w:t>
            </w:r>
          </w:p>
          <w:p w14:paraId="259FCDC6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Screening still uses the old criteria.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362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Trial criteria are revised during recruitment and must stay up to date.</w:t>
            </w:r>
          </w:p>
        </w:tc>
      </w:tr>
      <w:tr w14:paraId="1CB94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59F0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DAA32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70799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display the informed consent form to an eligible candidate and store the candidate’s electronic signature along with the form version, date and time.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A75E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703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The consent record contains the signature, form version and timestamp, and enrolment is blocked until it exists.</w:t>
            </w:r>
          </w:p>
          <w:p w14:paraId="44C9B4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A candidate is enroled without a stored consent record.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65A4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Informed consent is legally required before a subject can join a trial.</w:t>
            </w:r>
          </w:p>
        </w:tc>
      </w:tr>
      <w:tr w14:paraId="1A1E6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A553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FR-004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E9F1A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DC343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allow a consented candidate to book study visits and allow the Clinical Researcher to mark each visit as Attended or Missed.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BF22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5FB76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A visit the subject did not attend appears as Missed in the visit compliance log.</w:t>
            </w:r>
          </w:p>
          <w:p w14:paraId="2A6C7F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The visit is shown as Atended or is not recorded at all.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613FE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Visit compliance has to be tracked to detect protocol deviations.</w:t>
            </w:r>
          </w:p>
        </w:tc>
      </w:tr>
      <w:tr w14:paraId="37E9B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2946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FR-005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D88F0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F41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show the Clinical Resercher a report giving the number of candidates screened, found eligible, consented and enrolled for a selected trial.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2520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25065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Every count in the report matches the stored candidate records.</w:t>
            </w:r>
          </w:p>
          <w:p w14:paraId="13F20E83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Any count differs from the stored records.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996AE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Researchers need to track recrutment progress against the enrolment target.</w:t>
            </w:r>
          </w:p>
        </w:tc>
      </w:tr>
      <w:tr w14:paraId="3B308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60F7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NFR-001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5178E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Non-functional (Security)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62C87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record an audit trail entry containing the user, date, time, old value and new value for every change made to a candidate, eligibility or consent record, as required by 21 CFR Part 11.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9225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A869A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Every record change creates an audit entry, and stored entries cannot be edited or deleted.</w:t>
            </w:r>
          </w:p>
          <w:p w14:paraId="42670E5B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Any record change leaves no audit entry.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70483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Regulators require proof that clinical records have not been altered.</w:t>
            </w:r>
          </w:p>
        </w:tc>
      </w:tr>
      <w:tr w14:paraId="3942F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BD3C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NFR-002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A50F4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Non-functional (Performance)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088B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display the eligibility result within 3 seconds for at least 95% of submissions while 200 candidates are using the system at the same time.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9CB3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D987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A load test with 200 concurent users returns 95% of results in 3 seconds or less.</w:t>
            </w:r>
          </w:p>
          <w:p w14:paraId="66C33734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More than 5% of results take longer than 3 seconds.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D541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Slow screening feedback causes candidates to abandon the application.</w:t>
            </w:r>
          </w:p>
        </w:tc>
      </w:tr>
    </w:tbl>
    <w:p w14:paraId="145B1548"/>
    <w:sectPr>
      <w:pgSz w:w="16838" w:h="11906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01448F"/>
    <w:rsid w:val="46B221BD"/>
    <w:rsid w:val="61D37E50"/>
    <w:rsid w:val="659C2E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476</Words>
  <Characters>2553</Characters>
  <TotalTime>1</TotalTime>
  <ScaleCrop>false</ScaleCrop>
  <LinksUpToDate>false</LinksUpToDate>
  <CharactersWithSpaces>2973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2026-08-27T06:46:00Z</dcterms:created>
  <dc:creator>Un-named</dc:creator>
  <cp:lastModifiedBy>Vmin Kook</cp:lastModifiedBy>
  <dcterms:modified xsi:type="dcterms:W3CDTF">2026-08-27T13:49:38Z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eyJoZGlkIjoiYzhmMWNkYWRlMTcyMzNiNzc5NjA2ZmNjY2EwZmE5NGMiLCJ1c2VySWQiOiI1Njc1MTUwOTE2NTYifQ==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AB6463B95E8A4534A475013194481281_12</vt:lpwstr>
  </property>
</Properties>
</file>