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ABA05">
      <w:pPr>
        <w:spacing w:after="40"/>
        <w:jc w:val="center"/>
        <w:rPr>
          <w:sz w:val="26"/>
          <w:szCs w:val="26"/>
        </w:rPr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 Use-Case Flow</w:t>
      </w:r>
    </w:p>
    <w:p w14:paraId="56935DA0">
      <w:pPr>
        <w:spacing w:after="40"/>
        <w:jc w:val="center"/>
        <w:rPr>
          <w:rFonts w:hint="default" w:ascii="Calibri" w:hAnsi="Calibri" w:eastAsia="Calibri" w:cs="Calibri"/>
          <w:b/>
          <w:bCs/>
          <w:sz w:val="26"/>
          <w:szCs w:val="26"/>
          <w:lang w:val="en-IN"/>
        </w:rPr>
      </w:pPr>
      <w:r>
        <w:rPr>
          <w:rFonts w:ascii="Calibri" w:hAnsi="Calibri" w:eastAsia="Calibri" w:cs="Calibri"/>
          <w:b/>
          <w:bCs/>
          <w:sz w:val="26"/>
          <w:szCs w:val="26"/>
        </w:rPr>
        <w:t>PES1UG24CS144-</w:t>
      </w:r>
      <w:r>
        <w:rPr>
          <w:rFonts w:hint="default" w:ascii="Calibri" w:hAnsi="Calibri" w:eastAsia="Calibri" w:cs="Calibri"/>
          <w:b/>
          <w:bCs/>
          <w:sz w:val="26"/>
          <w:szCs w:val="26"/>
        </w:rPr>
        <w:t>Clinical Trial Subject Recruitment Engine</w:t>
      </w:r>
    </w:p>
    <w:tbl>
      <w:tblPr>
        <w:tblStyle w:val="9"/>
        <w:tblW w:w="97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600"/>
      </w:tblGrid>
      <w:tr w14:paraId="3F5EC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6FF3A4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7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39921B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UC2 – Check Eligibility</w:t>
            </w:r>
          </w:p>
        </w:tc>
      </w:tr>
      <w:tr w14:paraId="54FDE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C51EA6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7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4A9F5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Decide whether a trial candidate meets the criteria of a clinical trial.</w:t>
            </w:r>
          </w:p>
        </w:tc>
      </w:tr>
      <w:tr w14:paraId="41AEE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673CDA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4FFD3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Trial Candidate, with help from the Clinical Researcher (who maintains the criteria).</w:t>
            </w:r>
          </w:p>
        </w:tc>
      </w:tr>
      <w:tr w14:paraId="2C8B8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4C472F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CCE7D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1.  The candidate is registere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 and loged in.</w:t>
            </w:r>
          </w:p>
          <w:p w14:paraId="20174064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2.  The trial has inclusion and exclusion criteria defined by the researcher (FR-002).</w:t>
            </w:r>
          </w:p>
        </w:tc>
      </w:tr>
      <w:tr w14:paraId="6B606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C12C9F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D8679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1.  The candidate has an elig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20"/>
                <w:szCs w:val="20"/>
                <w:lang w:val="en-IN"/>
              </w:rPr>
              <w:t>i</w:t>
            </w: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bility result of Eligible or Not Eligible saved against the trial.</w:t>
            </w:r>
          </w:p>
          <w:p w14:paraId="3E82C3A6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2.  An audit trail entry has been written for the decision (NFR-001).</w:t>
            </w:r>
          </w:p>
        </w:tc>
      </w:tr>
      <w:tr w14:paraId="44009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37B6B3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7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98C01E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1.  The Trial Candidate selects a trial and opens the pre-screening questionnaire.</w:t>
            </w:r>
          </w:p>
          <w:p w14:paraId="3D68C506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2.  The candidate answers the questions and submits the form.</w:t>
            </w:r>
          </w:p>
          <w:p w14:paraId="2E6853E8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3.  The system checks that all required questions have been answered.</w:t>
            </w:r>
          </w:p>
          <w:p w14:paraId="2FBDB125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4.  The system loads the inclusion and exclusion criteria of the selected trial.</w:t>
            </w:r>
          </w:p>
          <w:p w14:paraId="0C6D5FCC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5.  The system compares each answer with the criteria.</w:t>
            </w:r>
          </w:p>
          <w:p w14:paraId="072921EA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6.  All inclusion criteria are met and no exclusion criterion applies.</w:t>
            </w:r>
          </w:p>
          <w:p w14:paraId="2313AC08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7.  The system marks the candidate as Eligible and saves the result with the date and time.</w:t>
            </w:r>
          </w:p>
          <w:p w14:paraId="7D978EEA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8.  The system writes an audit trail entry for the decision.</w:t>
            </w:r>
          </w:p>
          <w:p w14:paraId="34C424A7">
            <w:pPr>
              <w:spacing w:before="20" w:after="20" w:line="240" w:lineRule="auto"/>
              <w:ind w:left="300" w:hanging="300"/>
              <w:rPr>
                <w:rFonts w:hint="default"/>
                <w:lang w:val="en-IN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9.  The system shows the result and asks the candidate to book an informed consent session.</w:t>
            </w:r>
          </w:p>
          <w:p w14:paraId="37834CD5">
            <w:pPr>
              <w:spacing w:before="20" w:after="20" w:line="240" w:lineRule="auto"/>
              <w:ind w:left="300" w:hanging="300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10.  The use case ends sucessfully.</w:t>
            </w:r>
          </w:p>
        </w:tc>
      </w:tr>
      <w:tr w14:paraId="19B67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D6BC45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Alternate Flow</w:t>
            </w:r>
          </w:p>
        </w:tc>
        <w:tc>
          <w:tcPr>
            <w:tcW w:w="7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C122B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Candidate is not eligible</w:t>
            </w:r>
          </w:p>
          <w:p w14:paraId="17F63DDD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At Step 6, if an exclusion criterion applies:</w:t>
            </w:r>
          </w:p>
          <w:p w14:paraId="77DCEB6B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6a.  The system marks the candidate as Not Eligble.</w:t>
            </w:r>
          </w:p>
          <w:p w14:paraId="19950180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6b.  The system saves the result together with the criteria that failed and writes an audit entry.</w:t>
            </w:r>
          </w:p>
          <w:p w14:paraId="09E414AC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6c.  The system shows the candidate which criteria were not met.</w:t>
            </w:r>
          </w:p>
          <w:p w14:paraId="353A25B6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6d.  The use case ends without enrolment.</w:t>
            </w:r>
          </w:p>
          <w:p w14:paraId="757A0F8E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Required answer missing</w:t>
            </w:r>
          </w:p>
          <w:p w14:paraId="0FC62662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At Step 3, if a required question is unanswered:</w:t>
            </w:r>
          </w:p>
          <w:p w14:paraId="2A3854E0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3a.  The system highlights the unanswered questions and does not submit the form.</w:t>
            </w:r>
          </w:p>
          <w:p w14:paraId="778AF45A">
            <w:pPr>
              <w:spacing w:before="20" w:after="20" w:line="240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3b.  The candidate completes them and submi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20"/>
                <w:szCs w:val="20"/>
                <w:lang w:val="en-IN"/>
              </w:rPr>
              <w:t>t</w:t>
            </w: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ts again; the flow continues from Step 4.</w:t>
            </w:r>
          </w:p>
        </w:tc>
      </w:tr>
    </w:tbl>
    <w:p w14:paraId="289B12C9"/>
    <w:sectPr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E236C60"/>
    <w:rsid w:val="3BFE55D8"/>
    <w:rsid w:val="73807C45"/>
    <w:rsid w:val="78C35D1E"/>
    <w:rsid w:val="7EDE14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305</Words>
  <Characters>1574</Characters>
  <TotalTime>0</TotalTime>
  <ScaleCrop>false</ScaleCrop>
  <LinksUpToDate>false</LinksUpToDate>
  <CharactersWithSpaces>1864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2026-08-27T06:46:00Z</dcterms:created>
  <dc:creator>Un-named</dc:creator>
  <cp:lastModifiedBy>Vmin Kook</cp:lastModifiedBy>
  <dcterms:modified xsi:type="dcterms:W3CDTF">2026-08-27T13:49:53Z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eyJoZGlkIjoiYzhmMWNkYWRlMTcyMzNiNzc5NjA2ZmNjY2EwZmE5NGMiLCJ1c2VySWQiOiI1Njc1MTUwOTE2NTYifQ==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247B443CA9BD4029975617FB58274FD8_12</vt:lpwstr>
  </property>
</Properties>
</file>