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8738D5">
      <w:pPr>
        <w:spacing w:after="40"/>
        <w:jc w:val="center"/>
      </w:pPr>
      <w:r>
        <w:rPr>
          <w:rFonts w:ascii="Calibri" w:hAnsi="Calibri" w:eastAsia="Calibri" w:cs="Calibri"/>
          <w:b/>
          <w:bCs/>
          <w:sz w:val="26"/>
          <w:szCs w:val="26"/>
        </w:rPr>
        <w:t>Requirements Engineering &amp; UML Use-Case Modelling</w:t>
      </w:r>
    </w:p>
    <w:p w14:paraId="56935DA0">
      <w:pPr>
        <w:spacing w:after="40"/>
        <w:jc w:val="center"/>
        <w:rPr>
          <w:rFonts w:hint="default" w:ascii="Calibri" w:hAnsi="Calibri" w:eastAsia="Calibri" w:cs="Calibri"/>
          <w:b/>
          <w:bCs/>
          <w:sz w:val="26"/>
          <w:szCs w:val="26"/>
          <w:lang w:val="en-IN"/>
        </w:rPr>
      </w:pPr>
      <w:r>
        <w:rPr>
          <w:rFonts w:ascii="Calibri" w:hAnsi="Calibri" w:eastAsia="Calibri" w:cs="Calibri"/>
          <w:b/>
          <w:bCs/>
          <w:sz w:val="26"/>
          <w:szCs w:val="26"/>
        </w:rPr>
        <w:t>PES1UG24CS144-</w:t>
      </w:r>
      <w:r>
        <w:rPr>
          <w:rFonts w:hint="default" w:ascii="Calibri" w:hAnsi="Calibri" w:eastAsia="Calibri" w:cs="Calibri"/>
          <w:b/>
          <w:bCs/>
          <w:sz w:val="26"/>
          <w:szCs w:val="26"/>
        </w:rPr>
        <w:t>Clinical Trial Subject Recruitment Engine</w:t>
      </w:r>
    </w:p>
    <w:p w14:paraId="285E1D57">
      <w:pPr>
        <w:spacing w:after="160"/>
      </w:pPr>
      <w:r>
        <w:rPr>
          <w:rFonts w:ascii="Calibri" w:hAnsi="Calibri" w:eastAsia="Calibri" w:cs="Calibri"/>
          <w:sz w:val="20"/>
          <w:szCs w:val="20"/>
        </w:rPr>
        <w:t>Actors: Trial Candidate, Clinical Researcher, Notification Service.</w:t>
      </w:r>
    </w:p>
    <w:tbl>
      <w:tblPr>
        <w:tblStyle w:val="9"/>
        <w:tblW w:w="1539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1500"/>
        <w:gridCol w:w="4300"/>
        <w:gridCol w:w="900"/>
        <w:gridCol w:w="4700"/>
        <w:gridCol w:w="3098"/>
      </w:tblGrid>
      <w:tr w14:paraId="61100A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7E1F5F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Calibri" w:hAnsi="Calibri" w:eastAsia="Calibri" w:cs="Calibri"/>
                <w:b/>
                <w:bCs/>
                <w:sz w:val="20"/>
                <w:szCs w:val="20"/>
                <w:lang w:val="en-US" w:eastAsia="zh-CN"/>
              </w:rPr>
              <w:t>Req ID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A3A6A7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336829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DFB553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4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0D8DF5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Acceptance Criteria</w:t>
            </w:r>
          </w:p>
        </w:tc>
        <w:tc>
          <w:tcPr>
            <w:tcW w:w="309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9DE86F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Rationale</w:t>
            </w:r>
          </w:p>
        </w:tc>
      </w:tr>
      <w:tr w14:paraId="5E46B9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39FF8E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FR-001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11F0FD">
            <w:pPr>
              <w:spacing w:before="20" w:after="2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Functional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E3F0A8">
            <w:pPr>
              <w:spacing w:before="20" w:after="2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The system shall compare a trial candidate’s questionnaire answers against the inclusion and exclusion criteria of the selected trial and mark the candidate as Eligible or Not Eligible.</w:t>
            </w:r>
          </w:p>
        </w:tc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FF7375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High</w:t>
            </w:r>
          </w:p>
        </w:tc>
        <w:tc>
          <w:tcPr>
            <w:tcW w:w="4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AE95BD">
            <w:pPr>
              <w:spacing w:before="20" w:after="2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Pass: A candidate who meets an exclusion criterion is marked Not Eligible and the failed criteria are listed.</w:t>
            </w:r>
          </w:p>
          <w:p w14:paraId="6ABAD2A8">
            <w:pPr>
              <w:spacing w:before="20" w:after="2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Fail: Such a candidate is marked Eligible.</w:t>
            </w:r>
          </w:p>
        </w:tc>
        <w:tc>
          <w:tcPr>
            <w:tcW w:w="309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BBF1DD">
            <w:pPr>
              <w:spacing w:before="20" w:after="2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Automated pre-screening is the main purpose of the system and prevents unsafe enrolment.</w:t>
            </w:r>
          </w:p>
        </w:tc>
      </w:tr>
      <w:tr w14:paraId="7E8950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9A18C7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FR-002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FD0307">
            <w:pPr>
              <w:spacing w:before="20" w:after="2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Functional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BEFC8D">
            <w:pPr>
              <w:spacing w:before="20" w:after="2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The system shall allow a Clinical Researcher to add and edit the inclusion and exclusion criteria of a trial.</w:t>
            </w:r>
          </w:p>
        </w:tc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408D09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High</w:t>
            </w:r>
          </w:p>
        </w:tc>
        <w:tc>
          <w:tcPr>
            <w:tcW w:w="4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5E8933">
            <w:pPr>
              <w:spacing w:before="20" w:after="2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Pass: Criteria saved by the researcher are used in the very next screening.</w:t>
            </w:r>
          </w:p>
          <w:p w14:paraId="259FCDC6">
            <w:pPr>
              <w:spacing w:before="20" w:after="2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Fail: Screening still uses the old criteria.</w:t>
            </w:r>
          </w:p>
        </w:tc>
        <w:tc>
          <w:tcPr>
            <w:tcW w:w="309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8362BB">
            <w:pPr>
              <w:spacing w:before="20" w:after="2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Trial criteria are revised during recruitment and must stay up to date.</w:t>
            </w:r>
          </w:p>
        </w:tc>
      </w:tr>
      <w:tr w14:paraId="1CB945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859F0D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FR-003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DDAA32">
            <w:pPr>
              <w:spacing w:before="20" w:after="2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Functional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070799">
            <w:pPr>
              <w:spacing w:before="20" w:after="2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The system shall display the informed consent form to an eligible candidate and store the candidate’s electronic signature along with the form version, date and time.</w:t>
            </w:r>
          </w:p>
        </w:tc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0A75E1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High</w:t>
            </w:r>
          </w:p>
        </w:tc>
        <w:tc>
          <w:tcPr>
            <w:tcW w:w="4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470312">
            <w:pPr>
              <w:spacing w:before="20" w:after="2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Pass: The consent record contains the signature, form version and timestamp, and enrolment is blocked until it exists.</w:t>
            </w:r>
          </w:p>
          <w:p w14:paraId="44C9B4B5">
            <w:pPr>
              <w:spacing w:before="20" w:after="2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Fail: A candidate is enroled without a stored consent record.</w:t>
            </w:r>
          </w:p>
        </w:tc>
        <w:tc>
          <w:tcPr>
            <w:tcW w:w="309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D65A48">
            <w:pPr>
              <w:spacing w:before="20" w:after="2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Informed consent is legally required before a subject can join a trial.</w:t>
            </w:r>
          </w:p>
        </w:tc>
      </w:tr>
      <w:tr w14:paraId="1A1E6A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3A5537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FR-004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CE9F1A">
            <w:pPr>
              <w:spacing w:before="20" w:after="2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Functional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6DC343">
            <w:pPr>
              <w:spacing w:before="20" w:after="2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The system shall allow a consented candidate to book study visits and allow the Clinical Researcher to mark each visit as Attended or Missed.</w:t>
            </w:r>
          </w:p>
        </w:tc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5BF22A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Medium</w:t>
            </w:r>
          </w:p>
        </w:tc>
        <w:tc>
          <w:tcPr>
            <w:tcW w:w="4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55FB76">
            <w:pPr>
              <w:spacing w:before="20" w:after="2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Pass: A visit the subject did not attend appears as Missed in the visit compliance log.</w:t>
            </w:r>
          </w:p>
          <w:p w14:paraId="2A6C7F0B">
            <w:pPr>
              <w:spacing w:before="20" w:after="2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Fail: The visit is shown as Atended or is not recorded at all.</w:t>
            </w:r>
          </w:p>
        </w:tc>
        <w:tc>
          <w:tcPr>
            <w:tcW w:w="309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A613FE">
            <w:pPr>
              <w:spacing w:before="20" w:after="2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Visit compliance has to be tracked to detect protocol deviations.</w:t>
            </w:r>
          </w:p>
        </w:tc>
      </w:tr>
      <w:tr w14:paraId="37E9B0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329462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FR-005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8D88F0">
            <w:pPr>
              <w:spacing w:before="20" w:after="2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Functional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BF410B">
            <w:pPr>
              <w:spacing w:before="20" w:after="2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The system shall show the Clinical Resercher a report giving the number of candidates screened, found eligible, consented and enrolled for a selected trial.</w:t>
            </w:r>
          </w:p>
        </w:tc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22520A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Medium</w:t>
            </w:r>
          </w:p>
        </w:tc>
        <w:tc>
          <w:tcPr>
            <w:tcW w:w="4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025065">
            <w:pPr>
              <w:spacing w:before="20" w:after="2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Pass: Every count in the report matches the stored candidate records.</w:t>
            </w:r>
          </w:p>
          <w:p w14:paraId="13F20E83">
            <w:pPr>
              <w:spacing w:before="20" w:after="2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Fail: Any count differs from the stored records.</w:t>
            </w:r>
          </w:p>
        </w:tc>
        <w:tc>
          <w:tcPr>
            <w:tcW w:w="309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9996AE">
            <w:pPr>
              <w:spacing w:before="20" w:after="2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Researchers need to track recrutment progress against the enrolment target.</w:t>
            </w:r>
          </w:p>
        </w:tc>
      </w:tr>
      <w:tr w14:paraId="3B3088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160F7F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NFR-001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D5178E">
            <w:pPr>
              <w:spacing w:before="20" w:after="2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Non-functional (Security)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A62C87">
            <w:pPr>
              <w:spacing w:before="20" w:after="2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The system shall record an audit trail entry containing the user, date, time, old value and new value for every change made to a candidate, eligibility or consent record, as required by 21 CFR Part 11.</w:t>
            </w:r>
          </w:p>
        </w:tc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192251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High</w:t>
            </w:r>
          </w:p>
        </w:tc>
        <w:tc>
          <w:tcPr>
            <w:tcW w:w="4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CA869A">
            <w:pPr>
              <w:spacing w:before="20" w:after="2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Pass: Every record change creates an audit entry, and stored entries cannot be edited or deleted.</w:t>
            </w:r>
          </w:p>
          <w:p w14:paraId="42670E5B">
            <w:pPr>
              <w:spacing w:before="20" w:after="2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Fail: Any record change leaves no audit entry.</w:t>
            </w:r>
          </w:p>
        </w:tc>
        <w:tc>
          <w:tcPr>
            <w:tcW w:w="309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A70483">
            <w:pPr>
              <w:spacing w:before="20" w:after="2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Regulators require proof that clinical records have not been altered.</w:t>
            </w:r>
          </w:p>
        </w:tc>
      </w:tr>
      <w:tr w14:paraId="3942F6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FBD3C1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NFR-002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1A50F4">
            <w:pPr>
              <w:spacing w:before="20" w:after="2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Non-functional (Performance)</w:t>
            </w:r>
          </w:p>
        </w:tc>
        <w:tc>
          <w:tcPr>
            <w:tcW w:w="4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6088BD">
            <w:pPr>
              <w:spacing w:before="20" w:after="2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The system shall display the eligibility result within 3 seconds for at least 95% of submissions while 200 candidates are using the system at the same time.</w:t>
            </w:r>
          </w:p>
        </w:tc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D9CB38"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High</w:t>
            </w:r>
          </w:p>
        </w:tc>
        <w:tc>
          <w:tcPr>
            <w:tcW w:w="4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1D9878">
            <w:pPr>
              <w:spacing w:before="20" w:after="2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Pass: A load test with 200 concurent users returns 95% of results in 3 seconds or less.</w:t>
            </w:r>
          </w:p>
          <w:p w14:paraId="66C33734">
            <w:pPr>
              <w:spacing w:before="20" w:after="2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Fail: More than 5% of results take longer than 3 seconds.</w:t>
            </w:r>
          </w:p>
        </w:tc>
        <w:tc>
          <w:tcPr>
            <w:tcW w:w="309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CD5418">
            <w:pPr>
              <w:spacing w:before="20" w:after="20" w:line="240" w:lineRule="auto"/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Slow screening feedback causes candidates to abandon the application.</w:t>
            </w:r>
          </w:p>
        </w:tc>
      </w:tr>
    </w:tbl>
    <w:p w14:paraId="145B1548"/>
    <w:sectPr>
      <w:pgSz w:w="16838" w:h="11906" w:orient="landscape"/>
      <w:pgMar w:top="720" w:right="720" w:bottom="720" w:left="7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E7D0999"/>
    <w:rsid w:val="1901448F"/>
    <w:rsid w:val="46B221BD"/>
    <w:rsid w:val="61D37E50"/>
    <w:rsid w:val="659C2E6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481</Words>
  <Characters>2604</Characters>
  <TotalTime>1</TotalTime>
  <ScaleCrop>false</ScaleCrop>
  <LinksUpToDate>false</LinksUpToDate>
  <CharactersWithSpaces>3028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2026-08-27T06:46:00Z</dcterms:created>
  <dc:creator>Un-named</dc:creator>
  <cp:lastModifiedBy>Vmin Kook</cp:lastModifiedBy>
  <dcterms:modified xsi:type="dcterms:W3CDTF">2026-08-27T14:16:11Z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eyJoZGlkIjoiYzhmMWNkYWRlMTcyMzNiNzc5NjA2ZmNjY2EwZmE5NGMiLCJ1c2VySWQiOiI1Njc1MTUwOTE2NTYifQ==</vt:lpwstr>
  </property>
  <property fmtid="{D5CDD505-2E9C-101B-9397-08002B2CF9AE}" pid="3" name="KSOProductBuildVer">
    <vt:lpwstr>1033-12.1.0.28032</vt:lpwstr>
  </property>
  <property fmtid="{D5CDD505-2E9C-101B-9397-08002B2CF9AE}" pid="4" name="ICV">
    <vt:lpwstr>AB6463B95E8A4534A475013194481281_12</vt:lpwstr>
  </property>
</Properties>
</file>