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16B2" w:rsidRPr="00F00FA4" w:rsidRDefault="00F00FA4">
      <w:pPr>
        <w:spacing w:after="120"/>
        <w:rPr>
          <w:lang w:val="en-US"/>
        </w:rPr>
      </w:pPr>
      <w:r w:rsidRPr="00F00FA4">
        <w:rPr>
          <w:rFonts w:ascii="Times New Roman Regular" w:eastAsia="Times New Roman Regular" w:hAnsi="Times New Roman Regular" w:cs="Times New Roman Regular"/>
          <w:b/>
          <w:bCs/>
          <w:sz w:val="32"/>
          <w:szCs w:val="32"/>
          <w:lang w:val="en-US"/>
        </w:rPr>
        <w:t>Final Session Materials — Deliverables Checklist</w:t>
      </w:r>
    </w:p>
    <w:p w:rsidR="004316B2" w:rsidRPr="00F00FA4" w:rsidRDefault="00F00FA4">
      <w:pPr>
        <w:spacing w:after="60"/>
        <w:rPr>
          <w:lang w:val="en-US"/>
        </w:rPr>
      </w:pPr>
      <w:r w:rsidRPr="00F00FA4">
        <w:rPr>
          <w:rFonts w:ascii="Times New Roman Regular" w:eastAsia="Times New Roman Regular" w:hAnsi="Times New Roman Regular" w:cs="Times New Roman Regular"/>
          <w:i/>
          <w:iCs/>
          <w:sz w:val="21"/>
          <w:szCs w:val="21"/>
          <w:lang w:val="en-US"/>
        </w:rPr>
        <w:t>Mastering the Scientific Narrative: A Practical Guide to Reading and Writing High-Impact AI Research Papers</w:t>
      </w:r>
    </w:p>
    <w:p w:rsidR="004316B2" w:rsidRPr="00F00FA4" w:rsidRDefault="00F00FA4">
      <w:pPr>
        <w:spacing w:after="60"/>
        <w:rPr>
          <w:lang w:val="en-US"/>
        </w:rPr>
      </w:pPr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 xml:space="preserve">Castro </w:t>
      </w:r>
      <w:proofErr w:type="spellStart"/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>Gbêmêmali</w:t>
      </w:r>
      <w:proofErr w:type="spellEnd"/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 xml:space="preserve"> </w:t>
      </w:r>
      <w:proofErr w:type="spellStart"/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>Hounmenou</w:t>
      </w:r>
      <w:proofErr w:type="spellEnd"/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 xml:space="preserve"> — University of </w:t>
      </w:r>
      <w:proofErr w:type="spellStart"/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>Labé</w:t>
      </w:r>
      <w:proofErr w:type="spellEnd"/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 xml:space="preserve"> / CERFIG, Guinea</w:t>
      </w:r>
    </w:p>
    <w:p w:rsidR="004316B2" w:rsidRPr="00F00FA4" w:rsidRDefault="00F00FA4">
      <w:pPr>
        <w:spacing w:after="240"/>
        <w:rPr>
          <w:lang w:val="en-US"/>
        </w:rPr>
      </w:pPr>
      <w:r w:rsidRPr="00F00FA4">
        <w:rPr>
          <w:rFonts w:ascii="Times New Roman Regular" w:eastAsia="Times New Roman Regular" w:hAnsi="Times New Roman Regular" w:cs="Times New Roman Regular"/>
          <w:b/>
          <w:bCs/>
          <w:sz w:val="21"/>
          <w:szCs w:val="21"/>
          <w:lang w:val="en-US"/>
        </w:rPr>
        <w:t>Deep Learning Indaba — Skill Session · Submission deadline: 16 July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600"/>
        <w:gridCol w:w="4900"/>
        <w:gridCol w:w="1100"/>
      </w:tblGrid>
      <w:tr w:rsidR="004316B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9BBB59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6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9BBB59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proofErr w:type="spellStart"/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FFFFFF"/>
                <w:sz w:val="21"/>
                <w:szCs w:val="21"/>
              </w:rPr>
              <w:t>Deliverable</w:t>
            </w:r>
            <w:proofErr w:type="spellEnd"/>
          </w:p>
        </w:tc>
        <w:tc>
          <w:tcPr>
            <w:tcW w:w="49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9BBB59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FFFFFF"/>
                <w:sz w:val="21"/>
                <w:szCs w:val="21"/>
              </w:rPr>
              <w:t>D</w:t>
            </w:r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FFFFFF"/>
                <w:sz w:val="21"/>
                <w:szCs w:val="21"/>
              </w:rPr>
              <w:t>escription</w:t>
            </w:r>
          </w:p>
        </w:tc>
        <w:tc>
          <w:tcPr>
            <w:tcW w:w="11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9BBB59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b/>
                <w:bCs/>
                <w:color w:val="FFFFFF"/>
                <w:sz w:val="21"/>
                <w:szCs w:val="21"/>
              </w:rPr>
              <w:t>Deadline</w:t>
            </w:r>
          </w:p>
        </w:tc>
      </w:tr>
      <w:tr w:rsidR="004316B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bookmarkStart w:id="0" w:name="_GoBack"/>
            <w:bookmarkEnd w:id="0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</w:t>
            </w:r>
          </w:p>
        </w:tc>
        <w:tc>
          <w:tcPr>
            <w:tcW w:w="26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Slide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deck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(PDF + source)</w:t>
            </w:r>
          </w:p>
        </w:tc>
        <w:tc>
          <w:tcPr>
            <w:tcW w:w="49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Pr="00F00FA4" w:rsidRDefault="00F00FA4">
            <w:pPr>
              <w:rPr>
                <w:lang w:val="en-US"/>
              </w:rPr>
            </w:pPr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>Full presentation, slides 1–31: title slide carrying the Resource Kit link and QR code, with the QR code repeated on every subsequent slide.</w:t>
            </w:r>
          </w:p>
        </w:tc>
        <w:tc>
          <w:tcPr>
            <w:tcW w:w="11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16 July</w:t>
            </w:r>
          </w:p>
        </w:tc>
      </w:tr>
      <w:tr w:rsidR="004316B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2</w:t>
            </w:r>
          </w:p>
        </w:tc>
        <w:tc>
          <w:tcPr>
            <w:tcW w:w="26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Resource Kit (GitHub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repository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)</w:t>
            </w:r>
          </w:p>
        </w:tc>
        <w:tc>
          <w:tcPr>
            <w:tcW w:w="49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Pr="00F00FA4" w:rsidRDefault="00F00FA4">
            <w:pPr>
              <w:rPr>
                <w:lang w:val="en-US"/>
              </w:rPr>
            </w:pPr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 xml:space="preserve">Single public repository gathering all participant materials; the link </w:t>
            </w:r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>behind the QR code.</w:t>
            </w:r>
          </w:p>
        </w:tc>
        <w:tc>
          <w:tcPr>
            <w:tcW w:w="11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16 July</w:t>
            </w:r>
          </w:p>
        </w:tc>
      </w:tr>
      <w:tr w:rsidR="004316B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3</w:t>
            </w:r>
          </w:p>
        </w:tc>
        <w:tc>
          <w:tcPr>
            <w:tcW w:w="26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Shared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LaTeX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/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Overleaf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template</w:t>
            </w:r>
            <w:proofErr w:type="spellEnd"/>
          </w:p>
        </w:tc>
        <w:tc>
          <w:tcPr>
            <w:tcW w:w="49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Pr="00F00FA4" w:rsidRDefault="00F00FA4">
            <w:pPr>
              <w:rPr>
                <w:lang w:val="en-US"/>
              </w:rPr>
            </w:pPr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 xml:space="preserve">Pre-configured </w:t>
            </w:r>
            <w:proofErr w:type="spellStart"/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>NeurIPS</w:t>
            </w:r>
            <w:proofErr w:type="spellEnd"/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 xml:space="preserve">/ICLR template used live during the hands-on exercise, with the 3-sentence abstract environment (Context → Gap/Method → Impact) and a working-title field. Shared as a </w:t>
            </w:r>
            <w:proofErr w:type="spellStart"/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>copyable</w:t>
            </w:r>
            <w:proofErr w:type="spellEnd"/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 xml:space="preserve"> Overleaf link + source in the repository.</w:t>
            </w:r>
          </w:p>
        </w:tc>
        <w:tc>
          <w:tcPr>
            <w:tcW w:w="11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16 July</w:t>
            </w:r>
          </w:p>
        </w:tc>
      </w:tr>
      <w:tr w:rsidR="004316B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4</w:t>
            </w:r>
          </w:p>
        </w:tc>
        <w:tc>
          <w:tcPr>
            <w:tcW w:w="26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Scientific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Writing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Checklist</w:t>
            </w:r>
          </w:p>
        </w:tc>
        <w:tc>
          <w:tcPr>
            <w:tcW w:w="49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Pr="00F00FA4" w:rsidRDefault="00F00FA4">
            <w:pPr>
              <w:rPr>
                <w:lang w:val="en-US"/>
              </w:rPr>
            </w:pPr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>Step-by-step pre-submission guide (PDF + editable source).</w:t>
            </w:r>
          </w:p>
        </w:tc>
        <w:tc>
          <w:tcPr>
            <w:tcW w:w="11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16 July</w:t>
            </w:r>
          </w:p>
        </w:tc>
      </w:tr>
      <w:tr w:rsidR="004316B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5</w:t>
            </w:r>
          </w:p>
        </w:tc>
        <w:tc>
          <w:tcPr>
            <w:tcW w:w="26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Scenario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cards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/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exercise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sheet</w:t>
            </w:r>
            <w:proofErr w:type="spellEnd"/>
          </w:p>
        </w:tc>
        <w:tc>
          <w:tcPr>
            <w:tcW w:w="49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 xml:space="preserve">Cards for the four African-context tracks: AI × climate, agriculture, health, local languages.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Print-ready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PDF.</w:t>
            </w:r>
          </w:p>
        </w:tc>
        <w:tc>
          <w:tcPr>
            <w:tcW w:w="11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16 July</w:t>
            </w:r>
          </w:p>
        </w:tc>
      </w:tr>
      <w:tr w:rsidR="004316B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6</w:t>
            </w:r>
          </w:p>
        </w:tc>
        <w:tc>
          <w:tcPr>
            <w:tcW w:w="26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Curated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annotated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reading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list</w:t>
            </w:r>
            <w:proofErr w:type="spellEnd"/>
          </w:p>
        </w:tc>
        <w:tc>
          <w:tcPr>
            <w:tcW w:w="49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Pr="00F00FA4" w:rsidRDefault="00F00FA4">
            <w:pPr>
              <w:rPr>
                <w:lang w:val="en-US"/>
              </w:rPr>
            </w:pPr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>Research methodology and scientific communication references, including the demo paper.</w:t>
            </w:r>
          </w:p>
        </w:tc>
        <w:tc>
          <w:tcPr>
            <w:tcW w:w="11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16 July</w:t>
            </w:r>
          </w:p>
        </w:tc>
      </w:tr>
      <w:tr w:rsidR="004316B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7</w:t>
            </w:r>
          </w:p>
        </w:tc>
        <w:tc>
          <w:tcPr>
            <w:tcW w:w="26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Demo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paper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excerpt</w:t>
            </w:r>
            <w:proofErr w:type="spellEnd"/>
          </w:p>
        </w:tc>
        <w:tc>
          <w:tcPr>
            <w:tcW w:w="49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Pr="00F00FA4" w:rsidRDefault="00F00FA4">
            <w:pPr>
              <w:rPr>
                <w:lang w:val="en-US"/>
              </w:rPr>
            </w:pPr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>Printed/PDF excerpt used for the live 3-Pass reading demonstration.</w:t>
            </w:r>
          </w:p>
        </w:tc>
        <w:tc>
          <w:tcPr>
            <w:tcW w:w="11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16 July</w:t>
            </w:r>
          </w:p>
        </w:tc>
      </w:tr>
      <w:tr w:rsidR="004316B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8</w:t>
            </w:r>
          </w:p>
        </w:tc>
        <w:tc>
          <w:tcPr>
            <w:tcW w:w="26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Reference-manager links</w:t>
            </w:r>
          </w:p>
        </w:tc>
        <w:tc>
          <w:tcPr>
            <w:tcW w:w="49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Pr="00F00FA4" w:rsidRDefault="00F00FA4">
            <w:pPr>
              <w:rPr>
                <w:lang w:val="en-US"/>
              </w:rPr>
            </w:pPr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>Zotero / Mendeley setup pointers included in the kit.</w:t>
            </w:r>
          </w:p>
        </w:tc>
        <w:tc>
          <w:tcPr>
            <w:tcW w:w="11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16 July</w:t>
            </w:r>
          </w:p>
        </w:tc>
      </w:tr>
      <w:tr w:rsidR="004316B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9</w:t>
            </w:r>
          </w:p>
        </w:tc>
        <w:tc>
          <w:tcPr>
            <w:tcW w:w="26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proofErr w:type="spellStart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Contingency</w:t>
            </w:r>
            <w:proofErr w:type="spellEnd"/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 xml:space="preserve"> (offline) pack</w:t>
            </w:r>
          </w:p>
        </w:tc>
        <w:tc>
          <w:tcPr>
            <w:tcW w:w="49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Pr="00F00FA4" w:rsidRDefault="00F00FA4">
            <w:pPr>
              <w:rPr>
                <w:lang w:val="en-US"/>
              </w:rPr>
            </w:pPr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>Printed handouts of all slides, offline PDF of the Overleaf template, exercise sheets, and the Resource Kit URL written out in full in case of power, projector, or connectivity failure.</w:t>
            </w:r>
          </w:p>
        </w:tc>
        <w:tc>
          <w:tcPr>
            <w:tcW w:w="11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D7E3BC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16 July</w:t>
            </w:r>
          </w:p>
        </w:tc>
      </w:tr>
      <w:tr w:rsidR="004316B2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10</w:t>
            </w:r>
          </w:p>
        </w:tc>
        <w:tc>
          <w:tcPr>
            <w:tcW w:w="26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Pr="00F00FA4" w:rsidRDefault="00F00FA4">
            <w:pPr>
              <w:rPr>
                <w:lang w:val="en-US"/>
              </w:rPr>
            </w:pPr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>Detailed session plan (this document)</w:t>
            </w:r>
          </w:p>
        </w:tc>
        <w:tc>
          <w:tcPr>
            <w:tcW w:w="49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Pr="00F00FA4" w:rsidRDefault="00F00FA4">
            <w:pPr>
              <w:rPr>
                <w:lang w:val="en-US"/>
              </w:rPr>
            </w:pPr>
            <w:r w:rsidRPr="00F00FA4"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  <w:lang w:val="en-US"/>
              </w:rPr>
              <w:t>Updated 90-minute minute-by-minute run sheet.</w:t>
            </w:r>
          </w:p>
        </w:tc>
        <w:tc>
          <w:tcPr>
            <w:tcW w:w="1100" w:type="dxa"/>
            <w:tcBorders>
              <w:top w:val="single" w:sz="8" w:space="0" w:color="9BBB59"/>
              <w:left w:val="single" w:sz="8" w:space="0" w:color="9BBB59"/>
              <w:bottom w:val="single" w:sz="8" w:space="0" w:color="9BBB59"/>
              <w:right w:val="single" w:sz="8" w:space="0" w:color="9BBB59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:rsidR="004316B2" w:rsidRDefault="00F00FA4">
            <w:r>
              <w:rPr>
                <w:rFonts w:ascii="Times New Roman Regular" w:eastAsia="Times New Roman Regular" w:hAnsi="Times New Roman Regular" w:cs="Times New Roman Regular"/>
                <w:color w:val="000000"/>
                <w:sz w:val="21"/>
                <w:szCs w:val="21"/>
              </w:rPr>
              <w:t>16 July</w:t>
            </w:r>
          </w:p>
        </w:tc>
      </w:tr>
    </w:tbl>
    <w:p w:rsidR="004316B2" w:rsidRDefault="00F00FA4">
      <w:pPr>
        <w:spacing w:before="240" w:after="60"/>
      </w:pPr>
      <w:r>
        <w:rPr>
          <w:rFonts w:ascii="Times New Roman Regular" w:eastAsia="Times New Roman Regular" w:hAnsi="Times New Roman Regular" w:cs="Times New Roman Regular"/>
          <w:b/>
          <w:bCs/>
          <w:sz w:val="24"/>
          <w:szCs w:val="24"/>
        </w:rPr>
        <w:t>Notes</w:t>
      </w:r>
    </w:p>
    <w:p w:rsidR="004316B2" w:rsidRPr="00F00FA4" w:rsidRDefault="00F00FA4">
      <w:pPr>
        <w:rPr>
          <w:lang w:val="en-US"/>
        </w:rPr>
      </w:pPr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 xml:space="preserve">• Deliverables 2–8 are all hosted in the </w:t>
      </w:r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 xml:space="preserve">single Resource Kit repository </w:t>
      </w:r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 xml:space="preserve">(deliverable </w:t>
      </w:r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 xml:space="preserve">2); the QR code on every slide </w:t>
      </w:r>
      <w:proofErr w:type="gramStart"/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>points</w:t>
      </w:r>
      <w:proofErr w:type="gramEnd"/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 xml:space="preserve"> to it.</w:t>
      </w:r>
    </w:p>
    <w:p w:rsidR="004316B2" w:rsidRPr="00F00FA4" w:rsidRDefault="00F00FA4">
      <w:pPr>
        <w:rPr>
          <w:lang w:val="en-US"/>
        </w:rPr>
      </w:pPr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>• The Resource Kit is shared from slide 1, before the hands-on exercise, so participants have the template in hand while writi</w:t>
      </w:r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>ng.</w:t>
      </w:r>
    </w:p>
    <w:p w:rsidR="004316B2" w:rsidRPr="00F00FA4" w:rsidRDefault="00F00FA4">
      <w:pPr>
        <w:rPr>
          <w:lang w:val="en-US"/>
        </w:rPr>
      </w:pPr>
      <w:r w:rsidRPr="00F00FA4">
        <w:rPr>
          <w:rFonts w:ascii="Times New Roman Regular" w:eastAsia="Times New Roman Regular" w:hAnsi="Times New Roman Regular" w:cs="Times New Roman Regular"/>
          <w:sz w:val="21"/>
          <w:szCs w:val="21"/>
          <w:lang w:val="en-US"/>
        </w:rPr>
        <w:t>• Datasets/code: no external dataset is required for this session; only the template and the demo paper excerpt.</w:t>
      </w:r>
    </w:p>
    <w:sectPr w:rsidR="004316B2" w:rsidRPr="00F00FA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0AFF" w:usb1="00007843" w:usb2="00000001" w:usb3="00000000" w:csb0="000001BF" w:csb1="00000000"/>
  </w:font>
  <w:font w:name="Times New Roman Regular">
    <w:altName w:val="Times New Roman"/>
    <w:panose1 w:val="020B0604020202020204"/>
    <w:charset w:val="00"/>
    <w:family w:val="auto"/>
    <w:pitch w:val="default"/>
    <w:sig w:usb0="E0000AFF" w:usb1="00007843" w:usb2="00000001" w:usb3="00000000" w:csb0="400001BF" w:csb1="DFF7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CA2DFE"/>
    <w:multiLevelType w:val="hybridMultilevel"/>
    <w:tmpl w:val="6AE0A818"/>
    <w:lvl w:ilvl="0" w:tplc="0A3E3030">
      <w:start w:val="1"/>
      <w:numFmt w:val="bullet"/>
      <w:lvlText w:val="●"/>
      <w:lvlJc w:val="left"/>
      <w:pPr>
        <w:ind w:left="720" w:hanging="360"/>
      </w:pPr>
    </w:lvl>
    <w:lvl w:ilvl="1" w:tplc="0BD40274">
      <w:start w:val="1"/>
      <w:numFmt w:val="bullet"/>
      <w:lvlText w:val="○"/>
      <w:lvlJc w:val="left"/>
      <w:pPr>
        <w:ind w:left="1440" w:hanging="360"/>
      </w:pPr>
    </w:lvl>
    <w:lvl w:ilvl="2" w:tplc="9C2A7EE6">
      <w:start w:val="1"/>
      <w:numFmt w:val="bullet"/>
      <w:lvlText w:val="■"/>
      <w:lvlJc w:val="left"/>
      <w:pPr>
        <w:ind w:left="2160" w:hanging="360"/>
      </w:pPr>
    </w:lvl>
    <w:lvl w:ilvl="3" w:tplc="AFF03A24">
      <w:start w:val="1"/>
      <w:numFmt w:val="bullet"/>
      <w:lvlText w:val="●"/>
      <w:lvlJc w:val="left"/>
      <w:pPr>
        <w:ind w:left="2880" w:hanging="360"/>
      </w:pPr>
    </w:lvl>
    <w:lvl w:ilvl="4" w:tplc="00F27A5C">
      <w:start w:val="1"/>
      <w:numFmt w:val="bullet"/>
      <w:lvlText w:val="○"/>
      <w:lvlJc w:val="left"/>
      <w:pPr>
        <w:ind w:left="3600" w:hanging="360"/>
      </w:pPr>
    </w:lvl>
    <w:lvl w:ilvl="5" w:tplc="B02284B4">
      <w:start w:val="1"/>
      <w:numFmt w:val="bullet"/>
      <w:lvlText w:val="■"/>
      <w:lvlJc w:val="left"/>
      <w:pPr>
        <w:ind w:left="4320" w:hanging="360"/>
      </w:pPr>
    </w:lvl>
    <w:lvl w:ilvl="6" w:tplc="5EDEF738">
      <w:start w:val="1"/>
      <w:numFmt w:val="bullet"/>
      <w:lvlText w:val="●"/>
      <w:lvlJc w:val="left"/>
      <w:pPr>
        <w:ind w:left="5040" w:hanging="360"/>
      </w:pPr>
    </w:lvl>
    <w:lvl w:ilvl="7" w:tplc="DA069FEC">
      <w:start w:val="1"/>
      <w:numFmt w:val="bullet"/>
      <w:lvlText w:val="●"/>
      <w:lvlJc w:val="left"/>
      <w:pPr>
        <w:ind w:left="5760" w:hanging="360"/>
      </w:pPr>
    </w:lvl>
    <w:lvl w:ilvl="8" w:tplc="A460640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16B2"/>
    <w:rsid w:val="004316B2"/>
    <w:rsid w:val="00F00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70D2F7BF-510B-9A43-99CA-B6EF95A86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337</Words>
  <Characters>1854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2026-07-17T00:13:00Z</dcterms:created>
  <dcterms:modified xsi:type="dcterms:W3CDTF">2026-07-17T00:13:00Z</dcterms:modified>
</cp:coreProperties>
</file>