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25F28">
      <w:pPr>
        <w:spacing w:before="200" w:after="60"/>
        <w:jc w:val="center"/>
        <w:rPr>
          <w:rFonts w:hint="default" w:ascii="Times New Roman Regular" w:hAnsi="Times New Roman Regular" w:cs="Times New Roman Regular"/>
          <w:color w:val="auto"/>
          <w:sz w:val="28"/>
          <w:szCs w:val="28"/>
        </w:rPr>
      </w:pPr>
      <w:r>
        <w:rPr>
          <w:rFonts w:hint="default" w:ascii="Times New Roman Regular" w:hAnsi="Times New Roman Regular" w:eastAsia="Calibri" w:cs="Times New Roman Regular"/>
          <w:b/>
          <w:bCs/>
          <w:color w:val="auto"/>
          <w:sz w:val="28"/>
          <w:szCs w:val="28"/>
        </w:rPr>
        <w:t>Detailed Minute-by-Minute Session Plan</w:t>
      </w:r>
    </w:p>
    <w:p w14:paraId="20432A90">
      <w:pPr>
        <w:spacing w:after="80"/>
        <w:jc w:val="center"/>
        <w:rPr>
          <w:rFonts w:hint="default" w:ascii="Times New Roman Regular" w:hAnsi="Times New Roman Regular" w:eastAsia="Calibri" w:cs="Times New Roman Regular"/>
          <w:i/>
          <w:iCs/>
          <w:color w:val="auto"/>
          <w:sz w:val="26"/>
          <w:szCs w:val="26"/>
        </w:rPr>
      </w:pPr>
    </w:p>
    <w:p w14:paraId="11C56583">
      <w:pPr>
        <w:spacing w:after="80"/>
        <w:jc w:val="center"/>
        <w:rPr>
          <w:rFonts w:hint="default" w:ascii="Times New Roman Regular" w:hAnsi="Times New Roman Regular" w:eastAsia="Calibri" w:cs="Times New Roman Regular"/>
          <w:i/>
          <w:iCs/>
          <w:color w:val="auto"/>
          <w:sz w:val="26"/>
          <w:szCs w:val="26"/>
        </w:rPr>
      </w:pPr>
      <w:r>
        <w:rPr>
          <w:rFonts w:hint="default" w:ascii="Times New Roman Regular" w:hAnsi="Times New Roman Regular" w:eastAsia="Calibri" w:cs="Times New Roman Regular"/>
          <w:i/>
          <w:iCs/>
          <w:color w:val="auto"/>
          <w:sz w:val="26"/>
          <w:szCs w:val="26"/>
        </w:rPr>
        <w:t>Mastering the Scientific Narrative: A Practical Guide to Reading and Writing High-Impact AI Research Papers</w:t>
      </w:r>
    </w:p>
    <w:p w14:paraId="0BCAB109">
      <w:pPr>
        <w:spacing w:after="80"/>
        <w:jc w:val="center"/>
        <w:rPr>
          <w:rFonts w:hint="default" w:ascii="Times New Roman Regular" w:hAnsi="Times New Roman Regular" w:eastAsia="Calibri" w:cs="Times New Roman Regular"/>
          <w:i/>
          <w:iCs/>
          <w:color w:val="auto"/>
          <w:sz w:val="26"/>
          <w:szCs w:val="26"/>
        </w:rPr>
      </w:pPr>
    </w:p>
    <w:p w14:paraId="08F09553">
      <w:pPr>
        <w:pBdr>
          <w:bottom w:val="single" w:color="2E74B5" w:sz="12" w:space="0"/>
        </w:pBdr>
        <w:spacing w:after="300"/>
        <w:jc w:val="center"/>
        <w:rPr>
          <w:rFonts w:hint="default" w:ascii="Times New Roman Regular" w:hAnsi="Times New Roman Regular" w:eastAsia="Calibri" w:cs="Times New Roman Regular"/>
          <w:color w:val="auto"/>
          <w:sz w:val="24"/>
          <w:szCs w:val="24"/>
        </w:rPr>
      </w:pPr>
      <w:r>
        <w:rPr>
          <w:rFonts w:hint="default" w:ascii="Times New Roman Regular" w:hAnsi="Times New Roman Regular" w:eastAsia="Calibri" w:cs="Times New Roman Regular"/>
          <w:color w:val="auto"/>
          <w:sz w:val="24"/>
          <w:szCs w:val="24"/>
        </w:rPr>
        <w:t>Castro Gbêmêmali Hounmenou — University of Labé / CERFIG, Guinea</w:t>
      </w:r>
    </w:p>
    <w:p w14:paraId="5736E3D5">
      <w:pPr>
        <w:pBdr>
          <w:bottom w:val="single" w:color="2E74B5" w:sz="12" w:space="0"/>
        </w:pBdr>
        <w:spacing w:after="300"/>
        <w:jc w:val="center"/>
        <w:rPr>
          <w:rFonts w:hint="default" w:ascii="Times New Roman Regular" w:hAnsi="Times New Roman Regular" w:eastAsia="Calibri" w:cs="Times New Roman Regular"/>
          <w:color w:val="auto"/>
          <w:sz w:val="6"/>
          <w:szCs w:val="6"/>
          <w:lang w:val="en-US"/>
        </w:rPr>
      </w:pPr>
    </w:p>
    <w:p w14:paraId="528BA556">
      <w:pPr>
        <w:pStyle w:val="2"/>
        <w:spacing w:before="320" w:after="160"/>
        <w:rPr>
          <w:rFonts w:hint="default" w:ascii="Times New Roman Regular" w:hAnsi="Times New Roman Regular" w:cs="Times New Roman Regular"/>
          <w:color w:val="auto"/>
          <w:sz w:val="28"/>
          <w:szCs w:val="28"/>
        </w:rPr>
      </w:pPr>
      <w:r>
        <w:rPr>
          <w:rFonts w:hint="default" w:ascii="Times New Roman Regular" w:hAnsi="Times New Roman Regular" w:eastAsia="Calibri" w:cs="Times New Roman Regular"/>
          <w:b/>
          <w:bCs/>
          <w:color w:val="auto"/>
          <w:sz w:val="28"/>
          <w:szCs w:val="28"/>
        </w:rPr>
        <w:t>1. Session Overview</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7246"/>
      </w:tblGrid>
      <w:tr w14:paraId="29CC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5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3337AFA1">
            <w:pPr>
              <w:bidi w:val="0"/>
              <w:jc w:val="left"/>
              <w:rPr>
                <w:rFonts w:hint="default" w:ascii="Times New Roman Regular" w:hAnsi="Times New Roman Regular" w:cs="Times New Roman Regular"/>
                <w:color w:val="FFFFFF"/>
                <w:sz w:val="24"/>
                <w:szCs w:val="24"/>
              </w:rPr>
            </w:pPr>
            <w:r>
              <w:rPr>
                <w:rFonts w:hint="default" w:ascii="Times New Roman Regular" w:hAnsi="Times New Roman Regular" w:cs="Times New Roman Regular"/>
                <w:color w:val="FFFFFF"/>
                <w:sz w:val="24"/>
                <w:szCs w:val="24"/>
              </w:rPr>
              <w:t>Item</w:t>
            </w:r>
          </w:p>
        </w:tc>
        <w:tc>
          <w:tcPr>
            <w:tcW w:w="7246"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333B513D">
            <w:pPr>
              <w:bidi w:val="0"/>
              <w:jc w:val="left"/>
              <w:rPr>
                <w:rFonts w:hint="default" w:ascii="Times New Roman Regular" w:hAnsi="Times New Roman Regular" w:cs="Times New Roman Regular"/>
                <w:color w:val="FFFFFF"/>
                <w:sz w:val="24"/>
                <w:szCs w:val="24"/>
              </w:rPr>
            </w:pPr>
            <w:r>
              <w:rPr>
                <w:rFonts w:hint="default" w:ascii="Times New Roman Regular" w:hAnsi="Times New Roman Regular" w:cs="Times New Roman Regular"/>
                <w:color w:val="FFFFFF"/>
                <w:sz w:val="24"/>
                <w:szCs w:val="24"/>
              </w:rPr>
              <w:t>Detail</w:t>
            </w:r>
          </w:p>
        </w:tc>
      </w:tr>
      <w:tr w14:paraId="390D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05D5EA12">
            <w:pPr>
              <w:bidi w:val="0"/>
              <w:jc w:val="left"/>
              <w:rPr>
                <w:rFonts w:hint="default" w:ascii="Times New Roman Bold" w:hAnsi="Times New Roman Bold" w:cs="Times New Roman Bold"/>
                <w:b/>
                <w:bCs/>
                <w:color w:val="000000"/>
                <w:sz w:val="24"/>
                <w:szCs w:val="24"/>
              </w:rPr>
            </w:pPr>
            <w:r>
              <w:rPr>
                <w:rFonts w:hint="default" w:ascii="Times New Roman Bold" w:hAnsi="Times New Roman Bold" w:cs="Times New Roman Bold"/>
                <w:b/>
                <w:bCs/>
                <w:color w:val="000000"/>
                <w:sz w:val="24"/>
                <w:szCs w:val="24"/>
              </w:rPr>
              <w:t>Title</w:t>
            </w:r>
          </w:p>
        </w:tc>
        <w:tc>
          <w:tcPr>
            <w:tcW w:w="7246"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5C8FA17A">
            <w:pPr>
              <w:bidi w:val="0"/>
              <w:jc w:val="left"/>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rPr>
              <w:t>Mastering the Scientific Narrative: A Practical Guide to Reading and Writing High-Impact AI Research Papers</w:t>
            </w:r>
          </w:p>
        </w:tc>
      </w:tr>
      <w:tr w14:paraId="31A12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0915DE42">
            <w:pPr>
              <w:bidi w:val="0"/>
              <w:jc w:val="left"/>
              <w:rPr>
                <w:rFonts w:hint="default" w:ascii="Times New Roman Bold" w:hAnsi="Times New Roman Bold" w:cs="Times New Roman Bold"/>
                <w:b/>
                <w:bCs/>
                <w:color w:val="000000"/>
                <w:sz w:val="24"/>
                <w:szCs w:val="24"/>
              </w:rPr>
            </w:pPr>
            <w:r>
              <w:rPr>
                <w:rFonts w:hint="default" w:ascii="Times New Roman Bold" w:hAnsi="Times New Roman Bold" w:cs="Times New Roman Bold"/>
                <w:b/>
                <w:bCs/>
                <w:color w:val="000000"/>
                <w:sz w:val="24"/>
                <w:szCs w:val="24"/>
              </w:rPr>
              <w:t>Facilitator</w:t>
            </w:r>
          </w:p>
        </w:tc>
        <w:tc>
          <w:tcPr>
            <w:tcW w:w="7246"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325426B4">
            <w:pPr>
              <w:bidi w:val="0"/>
              <w:jc w:val="left"/>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rPr>
              <w:t>Castro Gbêmêmali Hounmenou (University of Labé / CERFIG, Guinea)</w:t>
            </w:r>
          </w:p>
        </w:tc>
      </w:tr>
      <w:tr w14:paraId="28308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0CB1173B">
            <w:pPr>
              <w:bidi w:val="0"/>
              <w:jc w:val="left"/>
              <w:rPr>
                <w:rFonts w:hint="default" w:ascii="Times New Roman Bold" w:hAnsi="Times New Roman Bold" w:cs="Times New Roman Bold"/>
                <w:b/>
                <w:bCs/>
                <w:color w:val="000000"/>
                <w:sz w:val="24"/>
                <w:szCs w:val="24"/>
              </w:rPr>
            </w:pPr>
            <w:r>
              <w:rPr>
                <w:rFonts w:hint="default" w:ascii="Times New Roman Bold" w:hAnsi="Times New Roman Bold" w:cs="Times New Roman Bold"/>
                <w:b/>
                <w:bCs/>
                <w:color w:val="000000"/>
                <w:sz w:val="24"/>
                <w:szCs w:val="24"/>
              </w:rPr>
              <w:t>Format</w:t>
            </w:r>
          </w:p>
        </w:tc>
        <w:tc>
          <w:tcPr>
            <w:tcW w:w="7246"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16C29694">
            <w:pPr>
              <w:bidi w:val="0"/>
              <w:jc w:val="left"/>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rPr>
              <w:t>In-person, interactive Skill Session (hands-on workshop)</w:t>
            </w:r>
          </w:p>
        </w:tc>
      </w:tr>
      <w:tr w14:paraId="169AD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59F19231">
            <w:pPr>
              <w:bidi w:val="0"/>
              <w:jc w:val="left"/>
              <w:rPr>
                <w:rFonts w:hint="default" w:ascii="Times New Roman Bold" w:hAnsi="Times New Roman Bold" w:cs="Times New Roman Bold"/>
                <w:b/>
                <w:bCs/>
                <w:color w:val="000000"/>
                <w:sz w:val="24"/>
                <w:szCs w:val="24"/>
              </w:rPr>
            </w:pPr>
            <w:r>
              <w:rPr>
                <w:rFonts w:hint="default" w:ascii="Times New Roman Bold" w:hAnsi="Times New Roman Bold" w:cs="Times New Roman Bold"/>
                <w:b/>
                <w:bCs/>
                <w:color w:val="000000"/>
                <w:sz w:val="24"/>
                <w:szCs w:val="24"/>
              </w:rPr>
              <w:t>Duration</w:t>
            </w:r>
          </w:p>
        </w:tc>
        <w:tc>
          <w:tcPr>
            <w:tcW w:w="7246"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2AC8AAEB">
            <w:pPr>
              <w:bidi w:val="0"/>
              <w:jc w:val="left"/>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rPr>
              <w:t>90 minutes (60 min of content + 30 min of discussion and participant questions)</w:t>
            </w:r>
          </w:p>
        </w:tc>
      </w:tr>
      <w:tr w14:paraId="7C0A0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0303B25A">
            <w:pPr>
              <w:bidi w:val="0"/>
              <w:jc w:val="left"/>
              <w:rPr>
                <w:rFonts w:hint="default" w:ascii="Times New Roman Bold" w:hAnsi="Times New Roman Bold" w:cs="Times New Roman Bold"/>
                <w:b/>
                <w:bCs/>
                <w:color w:val="000000"/>
                <w:sz w:val="24"/>
                <w:szCs w:val="24"/>
              </w:rPr>
            </w:pPr>
            <w:r>
              <w:rPr>
                <w:rFonts w:hint="default" w:ascii="Times New Roman Bold" w:hAnsi="Times New Roman Bold" w:cs="Times New Roman Bold"/>
                <w:b/>
                <w:bCs/>
                <w:color w:val="000000"/>
                <w:sz w:val="24"/>
                <w:szCs w:val="24"/>
              </w:rPr>
              <w:t>Venue</w:t>
            </w:r>
          </w:p>
        </w:tc>
        <w:tc>
          <w:tcPr>
            <w:tcW w:w="7246"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20D876FC">
            <w:pPr>
              <w:bidi w:val="0"/>
              <w:jc w:val="left"/>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rPr>
              <w:t>Nigeria (in person)</w:t>
            </w:r>
          </w:p>
        </w:tc>
      </w:tr>
      <w:tr w14:paraId="7DB65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71F318BF">
            <w:pPr>
              <w:bidi w:val="0"/>
              <w:jc w:val="left"/>
              <w:rPr>
                <w:rFonts w:hint="default" w:ascii="Times New Roman Bold" w:hAnsi="Times New Roman Bold" w:cs="Times New Roman Bold"/>
                <w:b/>
                <w:bCs/>
                <w:color w:val="000000"/>
                <w:sz w:val="24"/>
                <w:szCs w:val="24"/>
              </w:rPr>
            </w:pPr>
            <w:r>
              <w:rPr>
                <w:rFonts w:hint="default" w:ascii="Times New Roman Bold" w:hAnsi="Times New Roman Bold" w:cs="Times New Roman Bold"/>
                <w:b/>
                <w:bCs/>
                <w:color w:val="000000"/>
                <w:sz w:val="24"/>
                <w:szCs w:val="24"/>
              </w:rPr>
              <w:t>Target Audience</w:t>
            </w:r>
          </w:p>
        </w:tc>
        <w:tc>
          <w:tcPr>
            <w:tcW w:w="7246"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6D869C36">
            <w:pPr>
              <w:bidi w:val="0"/>
              <w:jc w:val="left"/>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rPr>
              <w:t>Undergraduate and early-graduate students &amp; young researchers in AI / Computer Science / Data Science (</w:t>
            </w:r>
            <w:r>
              <w:rPr>
                <w:rFonts w:hint="default" w:ascii="Times New Roman Regular" w:hAnsi="Times New Roman Regular" w:cs="Times New Roman Regular"/>
                <w:color w:val="000000"/>
                <w:sz w:val="24"/>
                <w:szCs w:val="24"/>
                <w:lang w:val="en-US"/>
              </w:rPr>
              <w:t xml:space="preserve">x </w:t>
            </w:r>
            <w:r>
              <w:rPr>
                <w:rFonts w:hint="default" w:ascii="Times New Roman Regular" w:hAnsi="Times New Roman Regular" w:cs="Times New Roman Regular"/>
                <w:color w:val="000000"/>
                <w:sz w:val="24"/>
                <w:szCs w:val="24"/>
              </w:rPr>
              <w:t>participants)</w:t>
            </w:r>
            <w:r>
              <w:rPr>
                <w:rFonts w:hint="default" w:ascii="Times New Roman Regular" w:hAnsi="Times New Roman Regular" w:cs="Times New Roman Regular"/>
                <w:color w:val="000000"/>
                <w:sz w:val="24"/>
                <w:szCs w:val="24"/>
                <w:lang w:val="en-US"/>
              </w:rPr>
              <w:t xml:space="preserve"> </w:t>
            </w:r>
            <w:r>
              <w:rPr>
                <w:rFonts w:hint="default" w:ascii="Times New Roman Regular" w:hAnsi="Times New Roman Regular" w:cs="Times New Roman Regular"/>
                <w:color w:val="000000"/>
                <w:sz w:val="24"/>
                <w:szCs w:val="24"/>
              </w:rPr>
              <w:t xml:space="preserve"> </w:t>
            </w:r>
          </w:p>
        </w:tc>
      </w:tr>
      <w:tr w14:paraId="4B478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44A9A826">
            <w:pPr>
              <w:bidi w:val="0"/>
              <w:jc w:val="left"/>
              <w:rPr>
                <w:rFonts w:hint="default" w:ascii="Times New Roman Bold" w:hAnsi="Times New Roman Bold" w:cs="Times New Roman Bold"/>
                <w:b/>
                <w:bCs/>
                <w:color w:val="000000"/>
                <w:sz w:val="24"/>
                <w:szCs w:val="24"/>
              </w:rPr>
            </w:pPr>
            <w:r>
              <w:rPr>
                <w:rFonts w:hint="default" w:ascii="Times New Roman Bold" w:hAnsi="Times New Roman Bold" w:cs="Times New Roman Bold"/>
                <w:b/>
                <w:bCs/>
                <w:color w:val="000000"/>
                <w:sz w:val="24"/>
                <w:szCs w:val="24"/>
              </w:rPr>
              <w:t>Prerequisites</w:t>
            </w:r>
          </w:p>
        </w:tc>
        <w:tc>
          <w:tcPr>
            <w:tcW w:w="7246"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381F017A">
            <w:pPr>
              <w:bidi w:val="0"/>
              <w:jc w:val="left"/>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rPr>
              <w:t>None beyond curiosity — pen and paper (or laptop/phone) recommended</w:t>
            </w:r>
          </w:p>
        </w:tc>
      </w:tr>
      <w:tr w14:paraId="602C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3174211C">
            <w:pPr>
              <w:bidi w:val="0"/>
              <w:jc w:val="left"/>
              <w:rPr>
                <w:rFonts w:hint="default" w:ascii="Times New Roman Bold" w:hAnsi="Times New Roman Bold" w:cs="Times New Roman Bold"/>
                <w:b/>
                <w:bCs/>
                <w:color w:val="000000"/>
                <w:sz w:val="24"/>
                <w:szCs w:val="24"/>
              </w:rPr>
            </w:pPr>
            <w:r>
              <w:rPr>
                <w:rFonts w:hint="default" w:ascii="Times New Roman Bold" w:hAnsi="Times New Roman Bold" w:cs="Times New Roman Bold"/>
                <w:b/>
                <w:bCs/>
                <w:color w:val="000000"/>
                <w:sz w:val="24"/>
                <w:szCs w:val="24"/>
              </w:rPr>
              <w:t>Language</w:t>
            </w:r>
          </w:p>
        </w:tc>
        <w:tc>
          <w:tcPr>
            <w:tcW w:w="7246"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6FD085AB">
            <w:pPr>
              <w:bidi w:val="0"/>
              <w:jc w:val="left"/>
              <w:rPr>
                <w:rFonts w:hint="default" w:ascii="Times New Roman Regular" w:hAnsi="Times New Roman Regular" w:cs="Times New Roman Regular"/>
                <w:color w:val="000000"/>
                <w:sz w:val="24"/>
                <w:szCs w:val="24"/>
                <w:lang w:val="en-US"/>
              </w:rPr>
            </w:pPr>
            <w:r>
              <w:rPr>
                <w:rFonts w:hint="default" w:ascii="Times New Roman Regular" w:hAnsi="Times New Roman Regular" w:cs="Times New Roman Regular"/>
                <w:color w:val="000000"/>
                <w:sz w:val="24"/>
                <w:szCs w:val="24"/>
                <w:lang w:val="en-US"/>
              </w:rPr>
              <w:t>French / English</w:t>
            </w:r>
          </w:p>
        </w:tc>
      </w:tr>
      <w:tr w14:paraId="29E1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3049F5A9">
            <w:pPr>
              <w:bidi w:val="0"/>
              <w:jc w:val="left"/>
              <w:rPr>
                <w:rFonts w:hint="default" w:ascii="Times New Roman Bold" w:hAnsi="Times New Roman Bold" w:cs="Times New Roman Bold"/>
                <w:b/>
                <w:bCs/>
                <w:color w:val="000000"/>
                <w:sz w:val="24"/>
                <w:szCs w:val="24"/>
              </w:rPr>
            </w:pPr>
            <w:r>
              <w:rPr>
                <w:rFonts w:hint="default" w:ascii="Times New Roman Bold" w:hAnsi="Times New Roman Bold" w:cs="Times New Roman Bold"/>
                <w:b/>
                <w:bCs/>
                <w:color w:val="000000"/>
                <w:sz w:val="24"/>
                <w:szCs w:val="24"/>
              </w:rPr>
              <w:t>Room Setup</w:t>
            </w:r>
          </w:p>
        </w:tc>
        <w:tc>
          <w:tcPr>
            <w:tcW w:w="7246"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67743D9D">
            <w:pPr>
              <w:bidi w:val="0"/>
              <w:jc w:val="left"/>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rPr>
              <w:t>Projector + screen; Wi-Fi access to the shared LaTeX/Overleaf template; participants seated in pairs or small clusters to enable peer work</w:t>
            </w:r>
          </w:p>
        </w:tc>
      </w:tr>
      <w:tr w14:paraId="2DCE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6745194A">
            <w:pPr>
              <w:bidi w:val="0"/>
              <w:jc w:val="left"/>
              <w:rPr>
                <w:rFonts w:hint="default" w:ascii="Times New Roman Bold" w:hAnsi="Times New Roman Bold" w:cs="Times New Roman Bold"/>
                <w:b/>
                <w:bCs/>
                <w:color w:val="000000"/>
                <w:sz w:val="24"/>
                <w:szCs w:val="24"/>
              </w:rPr>
            </w:pPr>
            <w:r>
              <w:rPr>
                <w:rFonts w:hint="default" w:ascii="Times New Roman Bold" w:hAnsi="Times New Roman Bold" w:cs="Times New Roman Bold"/>
                <w:b/>
                <w:bCs/>
                <w:color w:val="000000"/>
                <w:sz w:val="24"/>
                <w:szCs w:val="24"/>
              </w:rPr>
              <w:t>Contingency Plan</w:t>
            </w:r>
          </w:p>
        </w:tc>
        <w:tc>
          <w:tcPr>
            <w:tcW w:w="7246"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1B44D2F9">
            <w:pPr>
              <w:bidi w:val="0"/>
              <w:jc w:val="left"/>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rPr>
              <w:t>Printed handouts of all slides, the demo paper excerpt, and exercise sheets in case of power or projector failure; QR code replaced by a short written URL; offline PDF/printed copies of the LaTeX/Overleaf template for participants without connectivity</w:t>
            </w:r>
          </w:p>
        </w:tc>
      </w:tr>
    </w:tbl>
    <w:p w14:paraId="53F1285A">
      <w:pPr>
        <w:pStyle w:val="2"/>
        <w:spacing w:before="320" w:after="160"/>
        <w:rPr>
          <w:rFonts w:hint="default" w:ascii="Times New Roman Regular" w:hAnsi="Times New Roman Regular" w:cs="Times New Roman Regular"/>
          <w:color w:val="auto"/>
        </w:rPr>
      </w:pPr>
      <w:r>
        <w:rPr>
          <w:rFonts w:hint="default" w:ascii="Times New Roman Regular" w:hAnsi="Times New Roman Regular" w:eastAsia="Calibri" w:cs="Times New Roman Regular"/>
          <w:b/>
          <w:bCs/>
          <w:color w:val="auto"/>
          <w:sz w:val="30"/>
          <w:szCs w:val="30"/>
        </w:rPr>
        <w:t>2. Learning Objectives</w:t>
      </w:r>
    </w:p>
    <w:p w14:paraId="1C5536E8">
      <w:pPr>
        <w:spacing w:after="120"/>
        <w:jc w:val="both"/>
        <w:rPr>
          <w:rFonts w:hint="default" w:ascii="Times New Roman Regular" w:hAnsi="Times New Roman Regular" w:cs="Times New Roman Regular"/>
          <w:color w:val="auto"/>
          <w:sz w:val="24"/>
          <w:szCs w:val="24"/>
        </w:rPr>
      </w:pPr>
      <w:r>
        <w:rPr>
          <w:rFonts w:hint="default" w:ascii="Times New Roman Regular" w:hAnsi="Times New Roman Regular" w:eastAsia="Calibri" w:cs="Times New Roman Regular"/>
          <w:color w:val="auto"/>
          <w:sz w:val="24"/>
          <w:szCs w:val="24"/>
        </w:rPr>
        <w:t>By the end of the session, participants will be able to:</w:t>
      </w:r>
    </w:p>
    <w:p w14:paraId="46A37903">
      <w:pPr>
        <w:pStyle w:val="16"/>
        <w:numPr>
          <w:ilvl w:val="0"/>
          <w:numId w:val="1"/>
        </w:numPr>
        <w:spacing w:after="100"/>
        <w:jc w:val="both"/>
        <w:rPr>
          <w:rFonts w:hint="default" w:ascii="Times New Roman Regular" w:hAnsi="Times New Roman Regular" w:cs="Times New Roman Regular"/>
          <w:color w:val="auto"/>
          <w:sz w:val="24"/>
          <w:szCs w:val="24"/>
        </w:rPr>
      </w:pPr>
      <w:r>
        <w:rPr>
          <w:rFonts w:hint="default" w:ascii="Times New Roman Regular" w:hAnsi="Times New Roman Regular" w:eastAsia="Calibri" w:cs="Times New Roman Regular"/>
          <w:b/>
          <w:bCs/>
          <w:color w:val="auto"/>
          <w:sz w:val="24"/>
          <w:szCs w:val="24"/>
        </w:rPr>
        <w:t>Identify</w:t>
      </w:r>
      <w:r>
        <w:rPr>
          <w:rFonts w:hint="default" w:ascii="Times New Roman Regular" w:hAnsi="Times New Roman Regular" w:eastAsia="Calibri" w:cs="Times New Roman Regular"/>
          <w:color w:val="auto"/>
          <w:sz w:val="24"/>
          <w:szCs w:val="24"/>
        </w:rPr>
        <w:t xml:space="preserve"> the standard structure of a modern AI research paper (IMRAD adapted to NeurIPS/ICLR style) and explain what reviewers evaluate in each section (novelty, rigor, clarity, reproducibility).</w:t>
      </w:r>
    </w:p>
    <w:p w14:paraId="24C3CC00">
      <w:pPr>
        <w:pStyle w:val="16"/>
        <w:numPr>
          <w:ilvl w:val="0"/>
          <w:numId w:val="1"/>
        </w:numPr>
        <w:spacing w:after="100"/>
        <w:jc w:val="both"/>
        <w:rPr>
          <w:rFonts w:hint="default" w:ascii="Times New Roman Regular" w:hAnsi="Times New Roman Regular" w:cs="Times New Roman Regular"/>
          <w:color w:val="auto"/>
          <w:sz w:val="24"/>
          <w:szCs w:val="24"/>
        </w:rPr>
      </w:pPr>
      <w:r>
        <w:rPr>
          <w:rFonts w:hint="default" w:ascii="Times New Roman Regular" w:hAnsi="Times New Roman Regular" w:eastAsia="Calibri" w:cs="Times New Roman Regular"/>
          <w:b/>
          <w:bCs/>
          <w:color w:val="auto"/>
          <w:sz w:val="24"/>
          <w:szCs w:val="24"/>
        </w:rPr>
        <w:t>Apply</w:t>
      </w:r>
      <w:r>
        <w:rPr>
          <w:rFonts w:hint="default" w:ascii="Times New Roman Regular" w:hAnsi="Times New Roman Regular" w:eastAsia="Calibri" w:cs="Times New Roman Regular"/>
          <w:color w:val="auto"/>
          <w:sz w:val="24"/>
          <w:szCs w:val="24"/>
        </w:rPr>
        <w:t xml:space="preserve"> Keshav's systematic “3-Pass” reading method to extract the core contribution of any dense AI paper in under 15 minutes.</w:t>
      </w:r>
    </w:p>
    <w:p w14:paraId="4D241C34">
      <w:pPr>
        <w:pStyle w:val="16"/>
        <w:numPr>
          <w:ilvl w:val="0"/>
          <w:numId w:val="1"/>
        </w:numPr>
        <w:spacing w:after="100"/>
        <w:jc w:val="both"/>
        <w:rPr>
          <w:rFonts w:hint="default" w:ascii="Times New Roman Regular" w:hAnsi="Times New Roman Regular" w:cs="Times New Roman Regular"/>
          <w:color w:val="auto"/>
          <w:sz w:val="24"/>
          <w:szCs w:val="24"/>
        </w:rPr>
      </w:pPr>
      <w:r>
        <w:rPr>
          <w:rFonts w:hint="default" w:ascii="Times New Roman Regular" w:hAnsi="Times New Roman Regular" w:eastAsia="Calibri" w:cs="Times New Roman Regular"/>
          <w:b/>
          <w:bCs/>
          <w:color w:val="auto"/>
          <w:sz w:val="24"/>
          <w:szCs w:val="24"/>
        </w:rPr>
        <w:t>Structure</w:t>
      </w:r>
      <w:r>
        <w:rPr>
          <w:rFonts w:hint="default" w:ascii="Times New Roman Regular" w:hAnsi="Times New Roman Regular" w:eastAsia="Calibri" w:cs="Times New Roman Regular"/>
          <w:color w:val="auto"/>
          <w:sz w:val="24"/>
          <w:szCs w:val="24"/>
        </w:rPr>
        <w:t xml:space="preserve"> a compelling scientific narrative — from title and introduction to results visualization and honest limitations — aligned with international publication standards.</w:t>
      </w:r>
    </w:p>
    <w:p w14:paraId="077BBE03">
      <w:pPr>
        <w:pStyle w:val="16"/>
        <w:numPr>
          <w:ilvl w:val="0"/>
          <w:numId w:val="1"/>
        </w:numPr>
        <w:spacing w:after="100"/>
        <w:jc w:val="both"/>
        <w:rPr>
          <w:rFonts w:hint="default" w:ascii="Times New Roman Regular" w:hAnsi="Times New Roman Regular" w:cs="Times New Roman Regular"/>
          <w:color w:val="auto"/>
          <w:sz w:val="24"/>
          <w:szCs w:val="24"/>
        </w:rPr>
      </w:pPr>
      <w:r>
        <w:rPr>
          <w:rFonts w:hint="default" w:ascii="Times New Roman Regular" w:hAnsi="Times New Roman Regular" w:eastAsia="Calibri" w:cs="Times New Roman Regular"/>
          <w:b/>
          <w:bCs/>
          <w:color w:val="auto"/>
          <w:sz w:val="24"/>
          <w:szCs w:val="24"/>
        </w:rPr>
        <w:t>Draft</w:t>
      </w:r>
      <w:r>
        <w:rPr>
          <w:rFonts w:hint="default" w:ascii="Times New Roman Regular" w:hAnsi="Times New Roman Regular" w:eastAsia="Calibri" w:cs="Times New Roman Regular"/>
          <w:color w:val="auto"/>
          <w:sz w:val="24"/>
          <w:szCs w:val="24"/>
        </w:rPr>
        <w:t xml:space="preserve"> a concise, high-impact 3-sentence abstract (Context → Gap/Method → Impact) for an African-context AI project directly inside the shared LaTeX/Overleaf template, leaving the session with a practical document they can keep developing.</w:t>
      </w:r>
    </w:p>
    <w:p w14:paraId="2F6DD0D3">
      <w:pPr>
        <w:pStyle w:val="16"/>
        <w:numPr>
          <w:ilvl w:val="0"/>
          <w:numId w:val="1"/>
        </w:numPr>
        <w:spacing w:after="100"/>
        <w:jc w:val="both"/>
        <w:rPr>
          <w:rFonts w:hint="default" w:ascii="Times New Roman Regular" w:hAnsi="Times New Roman Regular" w:cs="Times New Roman Regular"/>
          <w:color w:val="auto"/>
          <w:sz w:val="24"/>
          <w:szCs w:val="24"/>
        </w:rPr>
      </w:pPr>
      <w:r>
        <w:rPr>
          <w:rFonts w:hint="default" w:ascii="Times New Roman Regular" w:hAnsi="Times New Roman Regular" w:eastAsia="Calibri" w:cs="Times New Roman Regular"/>
          <w:b/>
          <w:bCs/>
          <w:color w:val="auto"/>
          <w:sz w:val="24"/>
          <w:szCs w:val="24"/>
        </w:rPr>
        <w:t>Use</w:t>
      </w:r>
      <w:r>
        <w:rPr>
          <w:rFonts w:hint="default" w:ascii="Times New Roman Regular" w:hAnsi="Times New Roman Regular" w:eastAsia="Calibri" w:cs="Times New Roman Regular"/>
          <w:color w:val="auto"/>
          <w:sz w:val="24"/>
          <w:szCs w:val="24"/>
        </w:rPr>
        <w:t xml:space="preserve"> the Resource Kit (writing checklist, LaTeX/Overleaf templates, curated reading list) — shared from the very first slide and reachable via a QR code displayed on every slide — to continue progressing autonomously and apply FAIR data principles to their own research.</w:t>
      </w:r>
    </w:p>
    <w:p w14:paraId="4C819021">
      <w:pPr>
        <w:pStyle w:val="16"/>
        <w:numPr>
          <w:numId w:val="0"/>
        </w:numPr>
        <w:spacing w:after="100"/>
        <w:ind w:left="160" w:leftChars="0"/>
        <w:jc w:val="both"/>
        <w:rPr>
          <w:rFonts w:hint="default" w:ascii="Times New Roman Regular" w:hAnsi="Times New Roman Regular" w:cs="Times New Roman Regular"/>
          <w:color w:val="auto"/>
          <w:sz w:val="24"/>
          <w:szCs w:val="24"/>
        </w:rPr>
      </w:pPr>
    </w:p>
    <w:p w14:paraId="265B99BD">
      <w:pPr>
        <w:pBdr>
          <w:left w:val="single" w:color="2E74B5" w:sz="18" w:space="0"/>
        </w:pBdr>
        <w:shd w:val="clear" w:fill="F2F6FA"/>
        <w:spacing w:before="160" w:after="120"/>
        <w:ind w:left="200" w:right="200"/>
        <w:jc w:val="both"/>
        <w:rPr>
          <w:rFonts w:hint="default" w:ascii="Times New Roman Regular" w:hAnsi="Times New Roman Regular" w:cs="Times New Roman Regular"/>
          <w:color w:val="auto"/>
          <w:sz w:val="24"/>
          <w:szCs w:val="24"/>
        </w:rPr>
      </w:pPr>
      <w:r>
        <w:rPr>
          <w:rFonts w:hint="default" w:ascii="Times New Roman Regular" w:hAnsi="Times New Roman Regular" w:eastAsia="Calibri" w:cs="Times New Roman Regular"/>
          <w:b/>
          <w:bCs/>
          <w:color w:val="auto"/>
          <w:sz w:val="24"/>
          <w:szCs w:val="24"/>
        </w:rPr>
        <w:t xml:space="preserve">Link to the conference theme: </w:t>
      </w:r>
      <w:r>
        <w:rPr>
          <w:rFonts w:hint="default" w:ascii="Times New Roman Regular" w:hAnsi="Times New Roman Regular" w:eastAsia="Calibri" w:cs="Times New Roman Regular"/>
          <w:color w:val="auto"/>
          <w:sz w:val="24"/>
          <w:szCs w:val="24"/>
        </w:rPr>
        <w:t xml:space="preserve">this session directly advances </w:t>
      </w:r>
      <w:r>
        <w:rPr>
          <w:rFonts w:hint="default" w:ascii="Times New Roman Regular" w:hAnsi="Times New Roman Regular" w:eastAsia="Calibri" w:cs="Times New Roman Regular"/>
          <w:i/>
          <w:iCs/>
          <w:color w:val="auto"/>
          <w:sz w:val="24"/>
          <w:szCs w:val="24"/>
        </w:rPr>
        <w:t>Sovereign Intelligence</w:t>
      </w:r>
      <w:r>
        <w:rPr>
          <w:rFonts w:hint="default" w:ascii="Times New Roman Regular" w:hAnsi="Times New Roman Regular" w:eastAsia="Calibri" w:cs="Times New Roman Regular"/>
          <w:color w:val="auto"/>
          <w:sz w:val="24"/>
          <w:szCs w:val="24"/>
        </w:rPr>
        <w:t xml:space="preserve"> by giving African researchers full narrative autonomy </w:t>
      </w:r>
      <w:r>
        <w:rPr>
          <w:rFonts w:hint="default" w:ascii="Times New Roman Regular" w:hAnsi="Times New Roman Regular" w:cs="Times New Roman Regular"/>
          <w:color w:val="auto"/>
          <w:sz w:val="24"/>
          <w:szCs w:val="24"/>
          <w:lang w:val="en-US"/>
        </w:rPr>
        <w:t>:</w:t>
      </w:r>
      <w:r>
        <w:rPr>
          <w:rFonts w:hint="default" w:ascii="Times New Roman Regular" w:hAnsi="Times New Roman Regular" w:eastAsia="Calibri" w:cs="Times New Roman Regular"/>
          <w:color w:val="auto"/>
          <w:sz w:val="24"/>
          <w:szCs w:val="24"/>
        </w:rPr>
        <w:t xml:space="preserve"> the ability to document, publish, and globally showcase locally developed innovations.</w:t>
      </w:r>
    </w:p>
    <w:p w14:paraId="7EFF83FB">
      <w:pPr>
        <w:pStyle w:val="2"/>
        <w:spacing w:before="320" w:after="160"/>
        <w:rPr>
          <w:rFonts w:hint="default" w:ascii="Times New Roman Regular" w:hAnsi="Times New Roman Regular" w:cs="Times New Roman Regular"/>
          <w:color w:val="auto"/>
          <w:sz w:val="28"/>
          <w:szCs w:val="28"/>
        </w:rPr>
      </w:pPr>
      <w:r>
        <w:rPr>
          <w:rFonts w:hint="default" w:ascii="Times New Roman Regular" w:hAnsi="Times New Roman Regular" w:eastAsia="Calibri" w:cs="Times New Roman Regular"/>
          <w:b/>
          <w:bCs/>
          <w:color w:val="auto"/>
          <w:sz w:val="28"/>
          <w:szCs w:val="28"/>
        </w:rPr>
        <w:t>3. Time Allocation at a Glance</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900"/>
        <w:gridCol w:w="1300"/>
        <w:gridCol w:w="5646"/>
      </w:tblGrid>
      <w:tr w14:paraId="09DB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9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tcPr>
          <w:p w14:paraId="6F0F5736">
            <w:pPr>
              <w:spacing w:after="0"/>
              <w:rPr>
                <w:rFonts w:hint="default" w:ascii="Times New Roman Regular" w:hAnsi="Times New Roman Regular" w:cs="Times New Roman Regular"/>
                <w:color w:val="FFFFFF"/>
              </w:rPr>
            </w:pPr>
            <w:r>
              <w:rPr>
                <w:rFonts w:hint="default" w:ascii="Times New Roman Regular" w:hAnsi="Times New Roman Regular" w:eastAsia="Calibri" w:cs="Times New Roman Regular"/>
                <w:b/>
                <w:bCs/>
                <w:color w:val="FFFFFF"/>
                <w:sz w:val="21"/>
                <w:szCs w:val="21"/>
              </w:rPr>
              <w:t>Block</w:t>
            </w:r>
          </w:p>
        </w:tc>
        <w:tc>
          <w:tcPr>
            <w:tcW w:w="19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tcPr>
          <w:p w14:paraId="2E31908F">
            <w:pPr>
              <w:spacing w:after="0"/>
              <w:rPr>
                <w:rFonts w:hint="default" w:ascii="Times New Roman Regular" w:hAnsi="Times New Roman Regular" w:cs="Times New Roman Regular"/>
                <w:color w:val="FFFFFF"/>
              </w:rPr>
            </w:pPr>
            <w:r>
              <w:rPr>
                <w:rFonts w:hint="default" w:ascii="Times New Roman Regular" w:hAnsi="Times New Roman Regular" w:eastAsia="Calibri" w:cs="Times New Roman Regular"/>
                <w:b/>
                <w:bCs/>
                <w:color w:val="FFFFFF"/>
                <w:sz w:val="21"/>
                <w:szCs w:val="21"/>
              </w:rPr>
              <w:t>Time</w:t>
            </w:r>
          </w:p>
        </w:tc>
        <w:tc>
          <w:tcPr>
            <w:tcW w:w="13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tcPr>
          <w:p w14:paraId="4A631B03">
            <w:pPr>
              <w:spacing w:after="0"/>
              <w:rPr>
                <w:rFonts w:hint="default" w:ascii="Times New Roman Regular" w:hAnsi="Times New Roman Regular" w:cs="Times New Roman Regular"/>
                <w:color w:val="FFFFFF"/>
              </w:rPr>
            </w:pPr>
            <w:r>
              <w:rPr>
                <w:rFonts w:hint="default" w:ascii="Times New Roman Regular" w:hAnsi="Times New Roman Regular" w:eastAsia="Calibri" w:cs="Times New Roman Regular"/>
                <w:b/>
                <w:bCs/>
                <w:color w:val="FFFFFF"/>
                <w:sz w:val="21"/>
                <w:szCs w:val="21"/>
              </w:rPr>
              <w:t>Duration</w:t>
            </w:r>
          </w:p>
        </w:tc>
        <w:tc>
          <w:tcPr>
            <w:tcW w:w="5646"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tcPr>
          <w:p w14:paraId="2040DA06">
            <w:pPr>
              <w:spacing w:after="0"/>
              <w:rPr>
                <w:rFonts w:hint="default" w:ascii="Times New Roman Regular" w:hAnsi="Times New Roman Regular" w:cs="Times New Roman Regular"/>
                <w:color w:val="FFFFFF"/>
              </w:rPr>
            </w:pPr>
            <w:r>
              <w:rPr>
                <w:rFonts w:hint="default" w:ascii="Times New Roman Regular" w:hAnsi="Times New Roman Regular" w:eastAsia="Calibri" w:cs="Times New Roman Regular"/>
                <w:b/>
                <w:bCs/>
                <w:color w:val="FFFFFF"/>
                <w:sz w:val="21"/>
                <w:szCs w:val="21"/>
              </w:rPr>
              <w:t>Section</w:t>
            </w:r>
          </w:p>
        </w:tc>
      </w:tr>
      <w:tr w14:paraId="417B1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667F6F78">
            <w:pPr>
              <w:spacing w:after="0"/>
              <w:jc w:val="center"/>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1</w:t>
            </w:r>
          </w:p>
        </w:tc>
        <w:tc>
          <w:tcPr>
            <w:tcW w:w="19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0B321A3A">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00:00 – 00:05</w:t>
            </w:r>
          </w:p>
        </w:tc>
        <w:tc>
          <w:tcPr>
            <w:tcW w:w="13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152CFDF9">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5 min</w:t>
            </w:r>
          </w:p>
        </w:tc>
        <w:tc>
          <w:tcPr>
            <w:tcW w:w="5646"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27FE758A">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Opening, Context &amp; Icebreaker</w:t>
            </w:r>
          </w:p>
        </w:tc>
      </w:tr>
      <w:tr w14:paraId="0FA1D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588C8DCB">
            <w:pPr>
              <w:spacing w:after="0"/>
              <w:jc w:val="center"/>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2</w:t>
            </w:r>
          </w:p>
        </w:tc>
        <w:tc>
          <w:tcPr>
            <w:tcW w:w="19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6122118B">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00:05 – 00:13</w:t>
            </w:r>
          </w:p>
        </w:tc>
        <w:tc>
          <w:tcPr>
            <w:tcW w:w="13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641C661A">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8 min</w:t>
            </w:r>
          </w:p>
        </w:tc>
        <w:tc>
          <w:tcPr>
            <w:tcW w:w="5646"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4A811A29">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Part 1 — The Anatomy of an AI Paper</w:t>
            </w:r>
          </w:p>
        </w:tc>
      </w:tr>
      <w:tr w14:paraId="2846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2AAB0BE7">
            <w:pPr>
              <w:spacing w:after="0"/>
              <w:jc w:val="center"/>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3</w:t>
            </w:r>
          </w:p>
        </w:tc>
        <w:tc>
          <w:tcPr>
            <w:tcW w:w="19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69E8EB04">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00:13 – 00:27</w:t>
            </w:r>
          </w:p>
        </w:tc>
        <w:tc>
          <w:tcPr>
            <w:tcW w:w="13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1BE12DC8">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14 min</w:t>
            </w:r>
          </w:p>
        </w:tc>
        <w:tc>
          <w:tcPr>
            <w:tcW w:w="5646"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1DC2F232">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Part 2 — Reading with Purpose: The 3-Pass Method</w:t>
            </w:r>
          </w:p>
        </w:tc>
      </w:tr>
      <w:tr w14:paraId="79FD8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3A3105A1">
            <w:pPr>
              <w:spacing w:after="0"/>
              <w:jc w:val="center"/>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4</w:t>
            </w:r>
          </w:p>
        </w:tc>
        <w:tc>
          <w:tcPr>
            <w:tcW w:w="19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07E3E25B">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00:27 – 00:45</w:t>
            </w:r>
          </w:p>
        </w:tc>
        <w:tc>
          <w:tcPr>
            <w:tcW w:w="13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325FDCDF">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18 min</w:t>
            </w:r>
          </w:p>
        </w:tc>
        <w:tc>
          <w:tcPr>
            <w:tcW w:w="5646"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57F8071A">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Part 3 — The Writing Blueprint: Building Your Story</w:t>
            </w:r>
          </w:p>
        </w:tc>
      </w:tr>
      <w:tr w14:paraId="609D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6E28B163">
            <w:pPr>
              <w:spacing w:after="0"/>
              <w:jc w:val="center"/>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5</w:t>
            </w:r>
          </w:p>
        </w:tc>
        <w:tc>
          <w:tcPr>
            <w:tcW w:w="19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7F5386FA">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00:45 – 00:52</w:t>
            </w:r>
          </w:p>
        </w:tc>
        <w:tc>
          <w:tcPr>
            <w:tcW w:w="13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2F3523DE">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7 min</w:t>
            </w:r>
          </w:p>
        </w:tc>
        <w:tc>
          <w:tcPr>
            <w:tcW w:w="5646"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28DC1945">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Part 4 — Resource Kit Handover &amp; Q&amp;A</w:t>
            </w:r>
          </w:p>
        </w:tc>
      </w:tr>
      <w:tr w14:paraId="2B079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7E75CDF4">
            <w:pPr>
              <w:spacing w:after="0"/>
              <w:jc w:val="center"/>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6</w:t>
            </w:r>
          </w:p>
        </w:tc>
        <w:tc>
          <w:tcPr>
            <w:tcW w:w="19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19DF7B69">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00:52 – 01:15</w:t>
            </w:r>
          </w:p>
        </w:tc>
        <w:tc>
          <w:tcPr>
            <w:tcW w:w="13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61681863">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23 min</w:t>
            </w:r>
          </w:p>
        </w:tc>
        <w:tc>
          <w:tcPr>
            <w:tcW w:w="5646"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3688A8F5">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Part 5 — Hands-on Micro-Exercise in the Shared Overleaf Template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pPr>
              <w:spacing w:after="0"/>
              <w:jc w:val="center"/>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7</w:t>
            </w:r>
          </w:p>
        </w:tc>
        <w:tc>
          <w:tcPr>
            <w:tcW w:w="19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01:15 – 01:30</w:t>
            </w:r>
          </w:p>
        </w:tc>
        <w:tc>
          <w:tcPr>
            <w:tcW w:w="13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15 min</w:t>
            </w:r>
          </w:p>
        </w:tc>
        <w:tc>
          <w:tcPr>
            <w:tcW w:w="5646"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Extended Discussion, Participant Questions &amp; Closing Call-to-Action</w:t>
            </w:r>
          </w:p>
        </w:tc>
      </w:tr>
      <w:tr w14:paraId="03804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3790A54B">
            <w:pPr>
              <w:spacing w:after="0"/>
              <w:jc w:val="center"/>
              <w:rPr>
                <w:rFonts w:hint="default" w:ascii="Times New Roman Regular" w:hAnsi="Times New Roman Regular" w:cs="Times New Roman Regular"/>
                <w:color w:val="000000"/>
              </w:rPr>
            </w:pPr>
          </w:p>
        </w:tc>
        <w:tc>
          <w:tcPr>
            <w:tcW w:w="19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2D9DB352">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b/>
                <w:bCs/>
                <w:color w:val="000000"/>
                <w:sz w:val="21"/>
                <w:szCs w:val="21"/>
              </w:rPr>
              <w:t>Total</w:t>
            </w:r>
          </w:p>
        </w:tc>
        <w:tc>
          <w:tcPr>
            <w:tcW w:w="13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1C08BC65">
            <w:pPr>
              <w:spacing w:after="0"/>
              <w:rPr>
                <w:rFonts w:hint="default" w:ascii="Times New Roman Regular" w:hAnsi="Times New Roman Regular" w:cs="Times New Roman Regular"/>
                <w:color w:val="000000"/>
              </w:rPr>
            </w:pPr>
            <w:r>
              <w:rPr>
                <w:rFonts w:hint="default" w:ascii="Times New Roman Regular" w:hAnsi="Times New Roman Regular" w:eastAsia="Calibri" w:cs="Times New Roman Regular"/>
                <w:b/>
                <w:bCs/>
                <w:color w:val="000000"/>
                <w:sz w:val="21"/>
                <w:szCs w:val="21"/>
              </w:rPr>
              <w:t>90 min</w:t>
            </w:r>
          </w:p>
        </w:tc>
        <w:tc>
          <w:tcPr>
            <w:tcW w:w="5646"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37F97D84">
            <w:pPr>
              <w:spacing w:after="0"/>
              <w:rPr>
                <w:rFonts w:hint="default" w:ascii="Times New Roman Regular" w:hAnsi="Times New Roman Regular" w:cs="Times New Roman Regular"/>
                <w:color w:val="000000"/>
              </w:rPr>
            </w:pPr>
          </w:p>
        </w:tc>
      </w:tr>
    </w:tbl>
    <w:p w14:paraId="2526102A">
      <w:pPr>
        <w:rPr>
          <w:rFonts w:hint="default" w:ascii="Times New Roman Regular" w:hAnsi="Times New Roman Regular" w:cs="Times New Roman Regular"/>
          <w:color w:val="auto"/>
        </w:rPr>
        <w:sectPr>
          <w:pgSz w:w="11906" w:h="16838"/>
          <w:pgMar w:top="1080" w:right="1080" w:bottom="1080" w:left="1080" w:header="708" w:footer="708" w:gutter="0"/>
          <w:cols w:space="720" w:num="1"/>
          <w:docGrid w:linePitch="360" w:charSpace="0"/>
        </w:sectPr>
      </w:pPr>
    </w:p>
    <w:p w14:paraId="058954CB">
      <w:pPr>
        <w:pStyle w:val="2"/>
        <w:spacing w:before="320" w:after="160"/>
        <w:rPr>
          <w:rFonts w:hint="default" w:ascii="Times New Roman Regular" w:hAnsi="Times New Roman Regular" w:cs="Times New Roman Regular"/>
          <w:color w:val="auto"/>
          <w:sz w:val="28"/>
          <w:szCs w:val="28"/>
        </w:rPr>
      </w:pPr>
      <w:r>
        <w:rPr>
          <w:rFonts w:hint="default" w:ascii="Times New Roman Regular" w:hAnsi="Times New Roman Regular" w:eastAsia="Calibri" w:cs="Times New Roman Regular"/>
          <w:b/>
          <w:bCs/>
          <w:color w:val="auto"/>
          <w:sz w:val="28"/>
          <w:szCs w:val="28"/>
        </w:rPr>
        <w:t>4. Detailed Minute-by-Minute Run Sheet</w:t>
      </w:r>
    </w:p>
    <w:p w14:paraId="6C371983">
      <w:pPr>
        <w:pStyle w:val="3"/>
        <w:spacing w:before="260" w:after="120"/>
        <w:rPr>
          <w:rFonts w:hint="default" w:ascii="Times New Roman Regular" w:hAnsi="Times New Roman Regular" w:cs="Times New Roman Regular"/>
          <w:color w:val="auto"/>
          <w:sz w:val="28"/>
          <w:szCs w:val="28"/>
        </w:rPr>
      </w:pPr>
      <w:r>
        <w:rPr>
          <w:rFonts w:hint="default" w:ascii="Times New Roman Regular" w:hAnsi="Times New Roman Regular" w:eastAsia="Calibri" w:cs="Times New Roman Regular"/>
          <w:b/>
          <w:bCs/>
          <w:color w:val="auto"/>
          <w:sz w:val="28"/>
          <w:szCs w:val="28"/>
        </w:rPr>
        <w:t>Block 1 — Opening, Context &amp; Icebreaker (00:00 – 00:05 | 5 min)</w:t>
      </w:r>
    </w:p>
    <w:p w14:paraId="0D970A26">
      <w:pPr>
        <w:spacing w:after="160"/>
        <w:rPr>
          <w:rFonts w:hint="default" w:ascii="Times New Roman Regular" w:hAnsi="Times New Roman Regular" w:cs="Times New Roman Regular"/>
          <w:color w:val="auto"/>
          <w:sz w:val="24"/>
          <w:szCs w:val="24"/>
        </w:rPr>
      </w:pPr>
      <w:r>
        <w:rPr>
          <w:rFonts w:hint="default" w:ascii="Times New Roman Regular" w:hAnsi="Times New Roman Regular" w:eastAsia="Calibri" w:cs="Times New Roman Regular"/>
          <w:i/>
          <w:iCs/>
          <w:color w:val="auto"/>
          <w:sz w:val="24"/>
          <w:szCs w:val="24"/>
        </w:rPr>
        <w:t>Focus: create engagement, set expectations, connect the session to Sovereign Intelligence.</w:t>
      </w:r>
    </w:p>
    <w:tbl>
      <w:tblPr>
        <w:tblStyle w:val="9"/>
        <w:tblW w:w="146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2150"/>
        <w:gridCol w:w="6178"/>
        <w:gridCol w:w="2300"/>
        <w:gridCol w:w="2500"/>
      </w:tblGrid>
      <w:tr w14:paraId="33826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5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22011B02">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Time</w:t>
            </w:r>
          </w:p>
        </w:tc>
        <w:tc>
          <w:tcPr>
            <w:tcW w:w="215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482E3477">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Activity</w:t>
            </w:r>
          </w:p>
        </w:tc>
        <w:tc>
          <w:tcPr>
            <w:tcW w:w="6178"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54052107">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Detailed Content</w:t>
            </w:r>
          </w:p>
        </w:tc>
        <w:tc>
          <w:tcPr>
            <w:tcW w:w="23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768EF383">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Teaching Method</w:t>
            </w:r>
          </w:p>
        </w:tc>
        <w:tc>
          <w:tcPr>
            <w:tcW w:w="25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5E062525">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Materials</w:t>
            </w:r>
          </w:p>
        </w:tc>
      </w:tr>
      <w:tr w14:paraId="44FF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253F760D">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00:00 – 00:02</w:t>
            </w:r>
          </w:p>
        </w:tc>
        <w:tc>
          <w:tcPr>
            <w:tcW w:w="215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46438D63">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Welcome &amp; Hook</w:t>
            </w:r>
          </w:p>
        </w:tc>
        <w:tc>
          <w:tcPr>
            <w:tcW w:w="6178"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34372568">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Facilitator introduction (affiliation, research background). Immediate sharing of the Resource Kit link (QR code on screen) so that everyone has the LaTeX/Overleaf template and materials from the start. Flash poll: “Who has ever opened a research paper and closed it after two minutes?” and “Who has already submitted to a conference or journal?”</w:t>
            </w:r>
          </w:p>
        </w:tc>
        <w:tc>
          <w:tcPr>
            <w:tcW w:w="23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4279B672">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Icebreaker, show of hands</w:t>
            </w:r>
          </w:p>
        </w:tc>
        <w:tc>
          <w:tcPr>
            <w:tcW w:w="25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0AAED8F2">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Slides 1–2 (title, facilitator photo &amp; contact; Resource Kit link + QR code displayed from the very first slide, then repeated as a QR code on every subsequent slide)</w:t>
            </w:r>
          </w:p>
        </w:tc>
      </w:tr>
      <w:tr w14:paraId="44549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0A068209">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00:02 – 00:04</w:t>
            </w:r>
          </w:p>
        </w:tc>
        <w:tc>
          <w:tcPr>
            <w:tcW w:w="21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60ACDED9">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The “Sovereign Narrative” concept</w:t>
            </w:r>
          </w:p>
        </w:tc>
        <w:tc>
          <w:tcPr>
            <w:tcW w:w="6178"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48D22B6B">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Core premise: AI research is not only about writing code — it is about establishing African scientific agency by documenting and publishing local innovations in global venues (NeurIPS, ICLR, CVPR, Nature Machine Intelligence).</w:t>
            </w:r>
          </w:p>
        </w:tc>
        <w:tc>
          <w:tcPr>
            <w:tcW w:w="23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1835077B">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Short framing talk</w:t>
            </w:r>
          </w:p>
        </w:tc>
        <w:tc>
          <w:tcPr>
            <w:tcW w:w="25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22EDD21F">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 3</w:t>
            </w:r>
          </w:p>
        </w:tc>
      </w:tr>
      <w:tr w14:paraId="4AA55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5699CE2F">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00:04 – 00:05</w:t>
            </w:r>
          </w:p>
        </w:tc>
        <w:tc>
          <w:tcPr>
            <w:tcW w:w="215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68E43E30">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Session roadmap &amp; objectives</w:t>
            </w:r>
          </w:p>
        </w:tc>
        <w:tc>
          <w:tcPr>
            <w:tcW w:w="6178"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7F2E1C8A">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The two reusable “superpowers” of the session: (1) reading efficiently, (2) writing with impact — plus the announcement of the 90-minute format: 60 min of content, then an extended slot for discussion and questions. Reminder that the Resource Kit is already accessible via the QR code shown on every slide.</w:t>
            </w:r>
          </w:p>
        </w:tc>
        <w:tc>
          <w:tcPr>
            <w:tcW w:w="23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3335C4F1">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Verbal overview</w:t>
            </w:r>
          </w:p>
        </w:tc>
        <w:tc>
          <w:tcPr>
            <w:tcW w:w="25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475C0578">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 4 (roadmap)</w:t>
            </w:r>
          </w:p>
        </w:tc>
      </w:tr>
    </w:tbl>
    <w:p w14:paraId="18B79E0D">
      <w:pPr>
        <w:pStyle w:val="3"/>
        <w:spacing w:before="260" w:after="120"/>
        <w:rPr>
          <w:rFonts w:hint="default" w:ascii="Times New Roman Regular" w:hAnsi="Times New Roman Regular" w:eastAsia="Calibri" w:cs="Times New Roman Regular"/>
          <w:b/>
          <w:bCs/>
          <w:color w:val="auto"/>
          <w:sz w:val="25"/>
          <w:szCs w:val="25"/>
        </w:rPr>
      </w:pPr>
    </w:p>
    <w:p w14:paraId="7C77599E">
      <w:pPr>
        <w:pStyle w:val="3"/>
        <w:spacing w:before="260" w:after="120"/>
        <w:rPr>
          <w:rFonts w:hint="default" w:ascii="Times New Roman Regular" w:hAnsi="Times New Roman Regular" w:cs="Times New Roman Regular"/>
          <w:color w:val="auto"/>
          <w:sz w:val="28"/>
          <w:szCs w:val="28"/>
        </w:rPr>
      </w:pPr>
      <w:r>
        <w:rPr>
          <w:rFonts w:hint="default" w:ascii="Times New Roman Regular" w:hAnsi="Times New Roman Regular" w:eastAsia="Calibri" w:cs="Times New Roman Regular"/>
          <w:b/>
          <w:bCs/>
          <w:color w:val="auto"/>
          <w:sz w:val="28"/>
          <w:szCs w:val="28"/>
        </w:rPr>
        <w:t>Block 2 — Part 1: The Anatomy of an AI Paper (00:05 – 00:13 | 8 min)</w:t>
      </w:r>
    </w:p>
    <w:p w14:paraId="630D35FC">
      <w:pPr>
        <w:spacing w:after="160"/>
        <w:rPr>
          <w:rFonts w:hint="default" w:ascii="Times New Roman Regular" w:hAnsi="Times New Roman Regular" w:cs="Times New Roman Regular"/>
          <w:color w:val="auto"/>
          <w:sz w:val="24"/>
          <w:szCs w:val="24"/>
        </w:rPr>
      </w:pPr>
      <w:r>
        <w:rPr>
          <w:rFonts w:hint="default" w:ascii="Times New Roman Regular" w:hAnsi="Times New Roman Regular" w:eastAsia="Calibri" w:cs="Times New Roman Regular"/>
          <w:i/>
          <w:iCs/>
          <w:color w:val="auto"/>
          <w:sz w:val="24"/>
          <w:szCs w:val="24"/>
        </w:rPr>
        <w:t>Focus: demystify how modern ML/AI papers are structured and how reviewers evaluate them.</w:t>
      </w:r>
    </w:p>
    <w:tbl>
      <w:tblPr>
        <w:tblStyle w:val="9"/>
        <w:tblW w:w="146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2150"/>
        <w:gridCol w:w="6178"/>
        <w:gridCol w:w="2300"/>
        <w:gridCol w:w="2500"/>
      </w:tblGrid>
      <w:tr w14:paraId="3C6AA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5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289843C0">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Time</w:t>
            </w:r>
          </w:p>
        </w:tc>
        <w:tc>
          <w:tcPr>
            <w:tcW w:w="215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015703B2">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Activity</w:t>
            </w:r>
          </w:p>
        </w:tc>
        <w:tc>
          <w:tcPr>
            <w:tcW w:w="6178"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0AA69936">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Detailed Content</w:t>
            </w:r>
          </w:p>
        </w:tc>
        <w:tc>
          <w:tcPr>
            <w:tcW w:w="23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449E1D68">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Teaching Method</w:t>
            </w:r>
          </w:p>
        </w:tc>
        <w:tc>
          <w:tcPr>
            <w:tcW w:w="25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1D7E8AD7">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Materials</w:t>
            </w:r>
          </w:p>
        </w:tc>
      </w:tr>
      <w:tr w14:paraId="26952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25DF7035">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00:05 – 00:09</w:t>
            </w:r>
          </w:p>
        </w:tc>
        <w:tc>
          <w:tcPr>
            <w:tcW w:w="215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44EB6564">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The structural DNA of AI papers</w:t>
            </w:r>
          </w:p>
        </w:tc>
        <w:tc>
          <w:tcPr>
            <w:tcW w:w="6178"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60E0AEDE">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IMRAD adapted to modern ML style: Title → Abstract → Introduction → Related Work → Methodology → Experiments/Results → Discussion &amp; Limitations → Broader Impact. The “hidden logic” of each section (what question it answers for the reader).</w:t>
            </w:r>
          </w:p>
        </w:tc>
        <w:tc>
          <w:tcPr>
            <w:tcW w:w="23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5ACD2F8B">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Guided walkthrough of one annotated real paper on screen (ideally an African AI paper, e.g., AI for agriculture)</w:t>
            </w:r>
          </w:p>
        </w:tc>
        <w:tc>
          <w:tcPr>
            <w:tcW w:w="25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7CA199A5">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Slides 5–8; single-page visual map of a NeurIPS Overleaf template; annotated paper (PDF + printed copy)</w:t>
            </w:r>
          </w:p>
        </w:tc>
      </w:tr>
      <w:tr w14:paraId="7FA9C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01B8F2BE">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00:09 – 00:13</w:t>
            </w:r>
          </w:p>
        </w:tc>
        <w:tc>
          <w:tcPr>
            <w:tcW w:w="21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7E10989D">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Inside the mind of a reviewer</w:t>
            </w:r>
          </w:p>
        </w:tc>
        <w:tc>
          <w:tcPr>
            <w:tcW w:w="6178"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38CD1C6B">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What reviewers score first: clarity of the core contribution, novelty, methodological rigor, reproducibility, robust benchmarking. Common causes of early (desk) rejection: missing baselines, unclear notation, overclaiming, poor figures.</w:t>
            </w:r>
          </w:p>
        </w:tc>
        <w:tc>
          <w:tcPr>
            <w:tcW w:w="23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296F1933">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Interactive mini-quiz: “Which of these two abstracts would you accept?” (show of hands)</w:t>
            </w:r>
          </w:p>
        </w:tc>
        <w:tc>
          <w:tcPr>
            <w:tcW w:w="25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30521DDF">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 9 (reviewer checklist infographic)</w:t>
            </w:r>
          </w:p>
        </w:tc>
      </w:tr>
    </w:tbl>
    <w:p w14:paraId="5C4BE8C9">
      <w:pPr>
        <w:pStyle w:val="3"/>
        <w:spacing w:before="260" w:after="120"/>
        <w:rPr>
          <w:rFonts w:hint="default" w:ascii="Times New Roman Regular" w:hAnsi="Times New Roman Regular" w:eastAsia="Calibri" w:cs="Times New Roman Regular"/>
          <w:b/>
          <w:bCs/>
          <w:color w:val="auto"/>
          <w:sz w:val="28"/>
          <w:szCs w:val="28"/>
        </w:rPr>
      </w:pPr>
    </w:p>
    <w:p w14:paraId="077DE94E">
      <w:pPr>
        <w:pStyle w:val="3"/>
        <w:spacing w:before="260" w:after="120"/>
        <w:rPr>
          <w:rFonts w:hint="default" w:ascii="Times New Roman Regular" w:hAnsi="Times New Roman Regular" w:cs="Times New Roman Regular"/>
          <w:color w:val="auto"/>
          <w:sz w:val="28"/>
          <w:szCs w:val="28"/>
        </w:rPr>
      </w:pPr>
      <w:r>
        <w:rPr>
          <w:rFonts w:hint="default" w:ascii="Times New Roman Regular" w:hAnsi="Times New Roman Regular" w:eastAsia="Calibri" w:cs="Times New Roman Regular"/>
          <w:b/>
          <w:bCs/>
          <w:color w:val="auto"/>
          <w:sz w:val="28"/>
          <w:szCs w:val="28"/>
        </w:rPr>
        <w:t>Block 3 — Part 2: Reading with Purpose — The 3-Pass Method (00:13 – 00:27 | 14 min)</w:t>
      </w:r>
    </w:p>
    <w:p w14:paraId="2BC620B0">
      <w:pPr>
        <w:spacing w:after="160"/>
        <w:rPr>
          <w:rFonts w:hint="default" w:ascii="Times New Roman Regular" w:hAnsi="Times New Roman Regular" w:cs="Times New Roman Regular"/>
          <w:color w:val="auto"/>
          <w:sz w:val="24"/>
          <w:szCs w:val="24"/>
        </w:rPr>
      </w:pPr>
      <w:r>
        <w:rPr>
          <w:rFonts w:hint="default" w:ascii="Times New Roman Regular" w:hAnsi="Times New Roman Regular" w:eastAsia="Calibri" w:cs="Times New Roman Regular"/>
          <w:i/>
          <w:iCs/>
          <w:color w:val="auto"/>
          <w:sz w:val="24"/>
          <w:szCs w:val="24"/>
        </w:rPr>
        <w:t>Focus: a systematic method to digest dense scientific literature without being overwhelmed.</w:t>
      </w:r>
    </w:p>
    <w:tbl>
      <w:tblPr>
        <w:tblStyle w:val="9"/>
        <w:tblW w:w="146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2150"/>
        <w:gridCol w:w="6178"/>
        <w:gridCol w:w="2300"/>
        <w:gridCol w:w="2500"/>
      </w:tblGrid>
      <w:tr w14:paraId="4372A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5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5CB3E043">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Time</w:t>
            </w:r>
          </w:p>
        </w:tc>
        <w:tc>
          <w:tcPr>
            <w:tcW w:w="215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7F3D7248">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Activity</w:t>
            </w:r>
          </w:p>
        </w:tc>
        <w:tc>
          <w:tcPr>
            <w:tcW w:w="6178"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208AD2BC">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Detailed Content</w:t>
            </w:r>
          </w:p>
        </w:tc>
        <w:tc>
          <w:tcPr>
            <w:tcW w:w="23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12167355">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Teaching Method</w:t>
            </w:r>
          </w:p>
        </w:tc>
        <w:tc>
          <w:tcPr>
            <w:tcW w:w="25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0F72B4F1">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Materials</w:t>
            </w:r>
          </w:p>
        </w:tc>
      </w:tr>
      <w:tr w14:paraId="46FFB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0846B346">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00:13 – 00:15</w:t>
            </w:r>
          </w:p>
        </w:tc>
        <w:tc>
          <w:tcPr>
            <w:tcW w:w="215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2C680EC3">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Why we read badly</w:t>
            </w:r>
          </w:p>
        </w:tc>
        <w:tc>
          <w:tcPr>
            <w:tcW w:w="6178"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6C379DDF">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The failure of linear, page-by-page reading for math-heavy ML papers with dense appendices. Introduction of S. Keshav's “3-Pass” framework as the systematic solution.</w:t>
            </w:r>
          </w:p>
        </w:tc>
        <w:tc>
          <w:tcPr>
            <w:tcW w:w="23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72D9C41E">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Short talk</w:t>
            </w:r>
          </w:p>
        </w:tc>
        <w:tc>
          <w:tcPr>
            <w:tcW w:w="25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1FCAC1C6">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 10</w:t>
            </w:r>
          </w:p>
        </w:tc>
      </w:tr>
      <w:tr w14:paraId="09479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7351ADE0">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00:15 – 00:17</w:t>
            </w:r>
          </w:p>
        </w:tc>
        <w:tc>
          <w:tcPr>
            <w:tcW w:w="21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2BD50197">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Pass 1 — The quick scan (5–10 min per paper)</w:t>
            </w:r>
          </w:p>
        </w:tc>
        <w:tc>
          <w:tcPr>
            <w:tcW w:w="6178"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038A8EAD">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Read title, abstract, introduction, section headings, figures, and conclusions. Answer the “5 C's”: Category, Context, Correctness, Contributions, Clarity. Decision point: is this paper worth a deeper read?</w:t>
            </w:r>
          </w:p>
        </w:tc>
        <w:tc>
          <w:tcPr>
            <w:tcW w:w="23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206AD42A">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 + infographic</w:t>
            </w:r>
          </w:p>
        </w:tc>
        <w:tc>
          <w:tcPr>
            <w:tcW w:w="25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3D209DFB">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 11 (5 C's with icons)</w:t>
            </w:r>
          </w:p>
        </w:tc>
      </w:tr>
      <w:tr w14:paraId="0C8CF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20EDD4AB">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00:17 – 00:19</w:t>
            </w:r>
          </w:p>
        </w:tc>
        <w:tc>
          <w:tcPr>
            <w:tcW w:w="215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4ACDB12B">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Pass 2 — Grasping the content (up to 1 h per paper)</w:t>
            </w:r>
          </w:p>
        </w:tc>
        <w:tc>
          <w:tcPr>
            <w:tcW w:w="6178"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5FF8BB00">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Read carefully while skipping complex proofs; focus on figures, diagrams, experimental setup, and key results; take structured notes. Goal: be able to summarize the paper's main ideas to someone else.</w:t>
            </w:r>
          </w:p>
        </w:tc>
        <w:tc>
          <w:tcPr>
            <w:tcW w:w="23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231151DD">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 + annotated screenshot</w:t>
            </w:r>
          </w:p>
        </w:tc>
        <w:tc>
          <w:tcPr>
            <w:tcW w:w="25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7E64EE8F">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 12</w:t>
            </w:r>
          </w:p>
        </w:tc>
      </w:tr>
      <w:tr w14:paraId="6B3C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6E936CC2">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00:19 – 00:21</w:t>
            </w:r>
          </w:p>
        </w:tc>
        <w:tc>
          <w:tcPr>
            <w:tcW w:w="21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4BE02CF4">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Pass 3 — Critical reconstruction (1–5 h per paper)</w:t>
            </w:r>
          </w:p>
        </w:tc>
        <w:tc>
          <w:tcPr>
            <w:tcW w:w="6178"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34006CE0">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Virtually re-implement the paper; identify hidden assumptions, strengths, weaknesses, and limitations. Ask: “What would I have done differently?” Essential for literature reviews and peer reviewing.</w:t>
            </w:r>
          </w:p>
        </w:tc>
        <w:tc>
          <w:tcPr>
            <w:tcW w:w="23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4B6CDFE5">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w:t>
            </w:r>
          </w:p>
        </w:tc>
        <w:tc>
          <w:tcPr>
            <w:tcW w:w="25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20B4677E">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 13</w:t>
            </w:r>
          </w:p>
        </w:tc>
      </w:tr>
      <w:tr w14:paraId="37864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2F1B6BB7">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00:21 – 00:25</w:t>
            </w:r>
          </w:p>
        </w:tc>
        <w:tc>
          <w:tcPr>
            <w:tcW w:w="215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6E95FBA1">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Live demonstration</w:t>
            </w:r>
          </w:p>
        </w:tc>
        <w:tc>
          <w:tcPr>
            <w:tcW w:w="6178"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2B11C538">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Fast-paced, think-aloud breakdown of a real paper (e.g., Attention Is All You Need, a Masakhane NLP paper, or an AI-for-drought-prediction paper relevant to Africa), showing exactly where the eyes go during Pass 1 and Pass 2. Participants follow on a printed excerpt.</w:t>
            </w:r>
          </w:p>
        </w:tc>
        <w:tc>
          <w:tcPr>
            <w:tcW w:w="23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73F69366">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Live demo + think-aloud; timer visible on screen</w:t>
            </w:r>
          </w:p>
        </w:tc>
        <w:tc>
          <w:tcPr>
            <w:tcW w:w="25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3FE061C2">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Slides 14–15; printed excerpt of demo paper; timer</w:t>
            </w:r>
          </w:p>
        </w:tc>
      </w:tr>
      <w:tr w14:paraId="24C0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3B76F267">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00:25 – 00:27</w:t>
            </w:r>
          </w:p>
        </w:tc>
        <w:tc>
          <w:tcPr>
            <w:tcW w:w="21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777064B9">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Recap + practical tips</w:t>
            </w:r>
          </w:p>
        </w:tc>
        <w:tc>
          <w:tcPr>
            <w:tcW w:w="6178"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0A7DEC7A">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Comparative table of the 3 passes (goal, duration, output). Note-taking and literature-management tools: Zotero/Mendeley, Notion, Elicit, Scite.ai. Quick questions.</w:t>
            </w:r>
          </w:p>
        </w:tc>
        <w:tc>
          <w:tcPr>
            <w:tcW w:w="23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06711992">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Recap + brief Q&amp;A</w:t>
            </w:r>
          </w:p>
        </w:tc>
        <w:tc>
          <w:tcPr>
            <w:tcW w:w="25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15DA2F20">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 16 (summary infographic)</w:t>
            </w:r>
          </w:p>
        </w:tc>
      </w:tr>
    </w:tbl>
    <w:p w14:paraId="03EE62CE">
      <w:pPr>
        <w:pStyle w:val="3"/>
        <w:spacing w:before="260" w:after="120"/>
        <w:rPr>
          <w:rFonts w:hint="default" w:ascii="Times New Roman Regular" w:hAnsi="Times New Roman Regular" w:eastAsia="Calibri" w:cs="Times New Roman Regular"/>
          <w:b/>
          <w:bCs/>
          <w:color w:val="auto"/>
          <w:sz w:val="28"/>
          <w:szCs w:val="28"/>
        </w:rPr>
      </w:pPr>
    </w:p>
    <w:p w14:paraId="1051E817">
      <w:pPr>
        <w:pStyle w:val="3"/>
        <w:spacing w:before="260" w:after="120"/>
        <w:rPr>
          <w:rFonts w:hint="default" w:ascii="Times New Roman Regular" w:hAnsi="Times New Roman Regular" w:eastAsia="Calibri" w:cs="Times New Roman Regular"/>
          <w:b/>
          <w:bCs/>
          <w:color w:val="auto"/>
          <w:sz w:val="28"/>
          <w:szCs w:val="28"/>
        </w:rPr>
      </w:pPr>
      <w:r>
        <w:rPr>
          <w:rFonts w:hint="default" w:ascii="Times New Roman Regular" w:hAnsi="Times New Roman Regular" w:eastAsia="Calibri" w:cs="Times New Roman Regular"/>
          <w:b/>
          <w:bCs/>
          <w:color w:val="auto"/>
          <w:sz w:val="28"/>
          <w:szCs w:val="28"/>
        </w:rPr>
        <w:t>Block 4 — Part 3: The Writing Blueprint — Building Your Story (00:27 – 00:45 | 18 min)</w:t>
      </w:r>
    </w:p>
    <w:p w14:paraId="6B98CB05">
      <w:pPr>
        <w:spacing w:after="160"/>
        <w:rPr>
          <w:rFonts w:hint="default"/>
          <w:sz w:val="22"/>
          <w:szCs w:val="22"/>
        </w:rPr>
      </w:pPr>
      <w:r>
        <w:rPr>
          <w:rFonts w:hint="default" w:ascii="Times New Roman Regular" w:hAnsi="Times New Roman Regular" w:eastAsia="Calibri" w:cs="Times New Roman Regular"/>
          <w:i/>
          <w:iCs/>
          <w:color w:val="auto"/>
          <w:sz w:val="22"/>
          <w:szCs w:val="22"/>
        </w:rPr>
        <w:t>Focus: transform research findings into a clear, compelling narrative that meets international standards.</w:t>
      </w:r>
    </w:p>
    <w:tbl>
      <w:tblPr>
        <w:tblStyle w:val="9"/>
        <w:tblpPr w:leftFromText="180" w:rightFromText="180" w:vertAnchor="text" w:horzAnchor="page" w:tblpX="1065" w:tblpY="386"/>
        <w:tblOverlap w:val="never"/>
        <w:tblW w:w="146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2150"/>
        <w:gridCol w:w="6178"/>
        <w:gridCol w:w="2300"/>
        <w:gridCol w:w="2500"/>
      </w:tblGrid>
      <w:tr w14:paraId="6EC77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5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tcPr>
          <w:p w14:paraId="04A72709">
            <w:pPr>
              <w:spacing w:after="0"/>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Time</w:t>
            </w:r>
          </w:p>
        </w:tc>
        <w:tc>
          <w:tcPr>
            <w:tcW w:w="215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tcPr>
          <w:p w14:paraId="0CFCA6B7">
            <w:pPr>
              <w:spacing w:after="0"/>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Activity</w:t>
            </w:r>
          </w:p>
        </w:tc>
        <w:tc>
          <w:tcPr>
            <w:tcW w:w="6178"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tcPr>
          <w:p w14:paraId="293679A0">
            <w:pPr>
              <w:spacing w:after="0"/>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Detailed Content</w:t>
            </w:r>
          </w:p>
        </w:tc>
        <w:tc>
          <w:tcPr>
            <w:tcW w:w="23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tcPr>
          <w:p w14:paraId="1EA72A4E">
            <w:pPr>
              <w:spacing w:after="0"/>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Teaching Method</w:t>
            </w:r>
          </w:p>
        </w:tc>
        <w:tc>
          <w:tcPr>
            <w:tcW w:w="25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tcPr>
          <w:p w14:paraId="1579AAA3">
            <w:pPr>
              <w:spacing w:after="0"/>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Materials</w:t>
            </w:r>
          </w:p>
        </w:tc>
      </w:tr>
      <w:tr w14:paraId="41A71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0CE3F3ED">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00:27 – 00:32</w:t>
            </w:r>
          </w:p>
        </w:tc>
        <w:tc>
          <w:tcPr>
            <w:tcW w:w="215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6870B3C7">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Step 1 — Framing the problem (Title &amp; Introduction)</w:t>
            </w:r>
          </w:p>
        </w:tc>
        <w:tc>
          <w:tcPr>
            <w:tcW w:w="6178"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6DE36826">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Winning title formulas and traps to avoid. The Introduction “funnel”: general problem → research gap → your unique contribution, enriched by the Heilmeier Catechism (What are you trying to do? How is it done today? What is new? Why does it matter?). Before/after rewriting of a real introduction; how to justify both local (African) and global relevance.</w:t>
            </w:r>
          </w:p>
        </w:tc>
        <w:tc>
          <w:tcPr>
            <w:tcW w:w="23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0250EFF7">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Interactive lecture; before/after examples</w:t>
            </w:r>
          </w:p>
        </w:tc>
        <w:tc>
          <w:tcPr>
            <w:tcW w:w="25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4458680F">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Slides 17–20; annotated NeurIPS introduction</w:t>
            </w:r>
          </w:p>
        </w:tc>
      </w:tr>
      <w:tr w14:paraId="3F1D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2F0A7013">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00:32 – 00:38</w:t>
            </w:r>
          </w:p>
        </w:tc>
        <w:tc>
          <w:tcPr>
            <w:tcW w:w="21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0D24369B">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Step 2 — The core: Methodology, Notation &amp; FAIR data</w:t>
            </w:r>
          </w:p>
        </w:tc>
        <w:tc>
          <w:tcPr>
            <w:tcW w:w="6178"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5A0DC423">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Consistent mathematical notation (scalar/vector/matrix conventions). Clear presentation of: dataset (provenance, size, preprocessing), model architecture, hyperparameters, evaluation protocol (metrics, baselines). FAIR principles (Findable, Accessible, Interoperable, Reusable) applied to African datasets: dataset cards, data-collection ethics in local contexts, well-organized GitHub repositories for reproducibility.</w:t>
            </w:r>
          </w:p>
        </w:tc>
        <w:tc>
          <w:tcPr>
            <w:tcW w:w="23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371DD17C">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Interactive lecture + example “Materials &amp; Methods” extract</w:t>
            </w:r>
          </w:p>
        </w:tc>
        <w:tc>
          <w:tcPr>
            <w:tcW w:w="25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4B64C1A9">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Slides 21–24</w:t>
            </w:r>
          </w:p>
        </w:tc>
      </w:tr>
      <w:tr w14:paraId="63D6E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2480820F">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00:38 – 00:43</w:t>
            </w:r>
          </w:p>
        </w:tc>
        <w:tc>
          <w:tcPr>
            <w:tcW w:w="215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44045319">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Step 3 — Communicating impact (Results &amp; Figures)</w:t>
            </w:r>
          </w:p>
        </w:tc>
        <w:tc>
          <w:tcPr>
            <w:tcW w:w="6178"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4CA2B9AF">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Choosing the right chart (curves, bars, confusion matrices); clear titles, labeled axes, honest color scales; visual comparison against baselines; publication-quality LaTeX figures/tables instead of default Excel charts. “Spot-the-error” mini-quiz: participants vote on good vs. bad figure examples.</w:t>
            </w:r>
          </w:p>
        </w:tc>
        <w:tc>
          <w:tcPr>
            <w:tcW w:w="23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60D2E73F">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Mini-quiz (vote by show of hands)</w:t>
            </w:r>
          </w:p>
        </w:tc>
        <w:tc>
          <w:tcPr>
            <w:tcW w:w="25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tcPr>
          <w:p w14:paraId="2A784DEA">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Slides 25–27; good/bad figure gallery</w:t>
            </w:r>
          </w:p>
        </w:tc>
      </w:tr>
      <w:tr w14:paraId="4BC48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439BEBA0">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00:43 – 00:45</w:t>
            </w:r>
          </w:p>
        </w:tc>
        <w:tc>
          <w:tcPr>
            <w:tcW w:w="21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342524CA">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Step 4 — Discussion, Limitations &amp; Conclusion</w:t>
            </w:r>
          </w:p>
        </w:tc>
        <w:tc>
          <w:tcPr>
            <w:tcW w:w="6178"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462A765E">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Discuss results — do not repeat them. How to write an honest, self-critical Limitations section (reviewers respect it), e.g., model behavior under low-bandwidth/offline conditions in rural Africa. Linking limitations to future work; concluding with impact and scope.</w:t>
            </w:r>
          </w:p>
        </w:tc>
        <w:tc>
          <w:tcPr>
            <w:tcW w:w="23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7C759C40">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Short lecture + real extract</w:t>
            </w:r>
          </w:p>
        </w:tc>
        <w:tc>
          <w:tcPr>
            <w:tcW w:w="25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tcPr>
          <w:p w14:paraId="6E44F2D5">
            <w:pPr>
              <w:spacing w:after="0"/>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 28</w:t>
            </w:r>
          </w:p>
        </w:tc>
      </w:tr>
    </w:tbl>
    <w:p w14:paraId="4372CA49">
      <w:pPr>
        <w:pStyle w:val="3"/>
        <w:spacing w:before="260" w:after="120"/>
        <w:rPr>
          <w:rFonts w:hint="default" w:ascii="Times New Roman Regular" w:hAnsi="Times New Roman Regular" w:eastAsia="Calibri" w:cs="Times New Roman Regular"/>
          <w:b/>
          <w:bCs/>
          <w:color w:val="auto"/>
          <w:sz w:val="25"/>
          <w:szCs w:val="25"/>
        </w:rPr>
      </w:pPr>
    </w:p>
    <w:p w14:paraId="220648A1">
      <w:pPr>
        <w:pStyle w:val="3"/>
        <w:spacing w:before="260" w:after="120"/>
        <w:rPr>
          <w:rFonts w:hint="default" w:ascii="Times New Roman Regular" w:hAnsi="Times New Roman Regular" w:cs="Times New Roman Regular"/>
          <w:color w:val="auto"/>
        </w:rPr>
      </w:pPr>
      <w:r>
        <w:rPr>
          <w:rFonts w:hint="default" w:ascii="Times New Roman Regular" w:hAnsi="Times New Roman Regular" w:eastAsia="Calibri" w:cs="Times New Roman Regular"/>
          <w:b/>
          <w:bCs/>
          <w:color w:val="auto"/>
          <w:sz w:val="25"/>
          <w:szCs w:val="25"/>
        </w:rPr>
        <w:t>Block 5 — Part 4: Resource Kit Handover &amp; Q&amp;A (00:45 – 00:52 | 7 min)</w:t>
      </w:r>
    </w:p>
    <w:p w14:paraId="7C73CF92">
      <w:pPr>
        <w:spacing w:after="160"/>
        <w:rPr>
          <w:rFonts w:hint="default" w:ascii="Times New Roman Regular" w:hAnsi="Times New Roman Regular" w:cs="Times New Roman Regular"/>
          <w:color w:val="auto"/>
          <w:sz w:val="24"/>
          <w:szCs w:val="24"/>
        </w:rPr>
      </w:pPr>
      <w:r>
        <w:rPr>
          <w:rFonts w:hint="default" w:ascii="Times New Roman Regular" w:hAnsi="Times New Roman Regular" w:eastAsia="Calibri" w:cs="Times New Roman Regular"/>
          <w:i/>
          <w:iCs/>
          <w:color w:val="auto"/>
          <w:sz w:val="24"/>
          <w:szCs w:val="24"/>
        </w:rPr>
        <w:t>Focus: make sure every participant has the Resource Kit and the shared LaTeX/Overleaf template in hand before the hands-on exercise, and clear up any questions.</w:t>
      </w:r>
    </w:p>
    <w:tbl>
      <w:tblPr>
        <w:tblStyle w:val="9"/>
        <w:tblW w:w="146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2150"/>
        <w:gridCol w:w="6178"/>
        <w:gridCol w:w="2300"/>
        <w:gridCol w:w="2500"/>
      </w:tblGrid>
      <w:tr w14:paraId="7607D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5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209D2086">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Time</w:t>
            </w:r>
          </w:p>
        </w:tc>
        <w:tc>
          <w:tcPr>
            <w:tcW w:w="215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3E34CE88">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Activity</w:t>
            </w:r>
          </w:p>
        </w:tc>
        <w:tc>
          <w:tcPr>
            <w:tcW w:w="6178"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7F20DAD5">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Detailed Content</w:t>
            </w:r>
          </w:p>
        </w:tc>
        <w:tc>
          <w:tcPr>
            <w:tcW w:w="23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6BDEC5EA">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Teaching Method</w:t>
            </w:r>
          </w:p>
        </w:tc>
        <w:tc>
          <w:tcPr>
            <w:tcW w:w="25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0C7FA77E">
            <w:pPr>
              <w:spacing w:after="0"/>
              <w:jc w:val="left"/>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Materials</w:t>
            </w:r>
          </w:p>
        </w:tc>
      </w:tr>
      <w:tr w14:paraId="72B98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5697155A">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00:45 – 00:48</w:t>
            </w:r>
          </w:p>
        </w:tc>
        <w:tc>
          <w:tcPr>
            <w:tcW w:w="215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689150AE">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Resource Kit walkthrough</w:t>
            </w:r>
          </w:p>
        </w:tc>
        <w:tc>
          <w:tcPr>
            <w:tcW w:w="6178"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7843D968">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Guided tour of the Resource Kit, already accessible since slide 1 via the QR code repeated on every slide: (1) Scientific Writing Checklist (step-by-step pre-submission guide); (2) LaTeX/Overleaf templates pre-configured for NeurIPS, ICLR and major venues, including the shared template used for the exercise; (3) curated, annotated reading list on research methodology and scientific communication; (4) links to reference managers (Zotero/Mendeley). Everyone opens the shared Overleaf template now and makes a personal copy.</w:t>
            </w:r>
          </w:p>
        </w:tc>
        <w:tc>
          <w:tcPr>
            <w:tcW w:w="23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61BCA4A2">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Guided practice in Overleaf; peer work; live opening of the template</w:t>
            </w:r>
          </w:p>
        </w:tc>
        <w:tc>
          <w:tcPr>
            <w:tcW w:w="25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481CC1F2">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 29 (Resource Kit + QR code); shared LaTeX/Overleaf template; printed checklists and offline backup</w:t>
            </w:r>
          </w:p>
        </w:tc>
      </w:tr>
      <w:tr w14:paraId="35D70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097363AD">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00:48 – 00:52</w:t>
            </w:r>
          </w:p>
        </w:tc>
        <w:tc>
          <w:tcPr>
            <w:tcW w:w="21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55908F3B">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The 3-sentence abstract template on reading &amp; writing</w:t>
            </w:r>
          </w:p>
        </w:tc>
        <w:tc>
          <w:tcPr>
            <w:tcW w:w="6178"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369FAB2D">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Open questions on the first four parts: submission processes, handling reviewer rebuttals, choosing venues, finding co-authors and mentors, using the templates. Any technical issue with access to the Overleaf template is solved here, so that the hands-on block starts with everyone ready.</w:t>
            </w:r>
          </w:p>
        </w:tc>
        <w:tc>
          <w:tcPr>
            <w:tcW w:w="23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43982FE4">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Template presentation; live demo in Overleaf; troubleshooting</w:t>
            </w:r>
          </w:p>
        </w:tc>
        <w:tc>
          <w:tcPr>
            <w:tcW w:w="25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65F3458C">
            <w:pPr>
              <w:spacing w:after="0"/>
              <w:jc w:val="left"/>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Resource Kit; Overleaf template; QR code</w:t>
            </w:r>
          </w:p>
        </w:tc>
      </w:tr>
    </w:tbl>
    <w:p w14:paraId="713C752C">
      <w:pPr>
        <w:pStyle w:val="3"/>
        <w:spacing w:before="260" w:after="120"/>
        <w:rPr>
          <w:rFonts w:hint="default" w:ascii="Times New Roman Regular" w:hAnsi="Times New Roman Regular" w:eastAsia="Calibri" w:cs="Times New Roman Regular"/>
          <w:b/>
          <w:bCs/>
          <w:color w:val="auto"/>
          <w:sz w:val="28"/>
          <w:szCs w:val="28"/>
        </w:rPr>
      </w:pPr>
    </w:p>
    <w:p w14:paraId="3740B167">
      <w:pPr>
        <w:pStyle w:val="3"/>
        <w:spacing w:before="260" w:after="120"/>
        <w:rPr>
          <w:rFonts w:hint="default" w:ascii="Times New Roman Regular" w:hAnsi="Times New Roman Regular" w:cs="Times New Roman Regular"/>
          <w:color w:val="auto"/>
          <w:sz w:val="28"/>
          <w:szCs w:val="28"/>
        </w:rPr>
      </w:pPr>
      <w:r>
        <w:rPr>
          <w:rFonts w:hint="default" w:ascii="Times New Roman Regular" w:hAnsi="Times New Roman Regular" w:eastAsia="Calibri" w:cs="Times New Roman Regular"/>
          <w:b/>
          <w:bCs/>
          <w:color w:val="auto"/>
          <w:sz w:val="28"/>
          <w:szCs w:val="28"/>
        </w:rPr>
        <w:t>Block 6 — Part 5: Hands-on Micro-Exercise — The 3-Sentence Abstract in the Shared Overleaf Template (00:52 – 01:15 | 23 min)</w:t>
      </w:r>
    </w:p>
    <w:p w14:paraId="5C9B3715">
      <w:pPr>
        <w:spacing w:after="160"/>
        <w:rPr>
          <w:rFonts w:hint="default" w:ascii="Times New Roman Regular" w:hAnsi="Times New Roman Regular" w:cs="Times New Roman Regular"/>
          <w:color w:val="auto"/>
          <w:sz w:val="24"/>
          <w:szCs w:val="24"/>
        </w:rPr>
      </w:pPr>
      <w:r>
        <w:rPr>
          <w:rFonts w:hint="default" w:ascii="Times New Roman Regular" w:hAnsi="Times New Roman Regular" w:eastAsia="Calibri" w:cs="Times New Roman Regular"/>
          <w:i/>
          <w:iCs/>
          <w:color w:val="auto"/>
          <w:sz w:val="24"/>
          <w:szCs w:val="24"/>
        </w:rPr>
        <w:t>Focus: immediate active application of the storytelling blueprint in an African context, written directly in the shared LaTeX/Overleaf template so that each participant leaves with a practical, reusable document. Participants can take as long as they need at the end of the session.</w:t>
      </w:r>
    </w:p>
    <w:tbl>
      <w:tblPr>
        <w:tblStyle w:val="9"/>
        <w:tblW w:w="146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2150"/>
        <w:gridCol w:w="6178"/>
        <w:gridCol w:w="2300"/>
        <w:gridCol w:w="2500"/>
      </w:tblGrid>
      <w:tr w14:paraId="644C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5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31048E24">
            <w:pPr>
              <w:spacing w:after="0"/>
              <w:jc w:val="both"/>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Time</w:t>
            </w:r>
          </w:p>
        </w:tc>
        <w:tc>
          <w:tcPr>
            <w:tcW w:w="215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216B3CDA">
            <w:pPr>
              <w:spacing w:after="0"/>
              <w:jc w:val="both"/>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Activity</w:t>
            </w:r>
          </w:p>
        </w:tc>
        <w:tc>
          <w:tcPr>
            <w:tcW w:w="6178"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62995396">
            <w:pPr>
              <w:spacing w:after="0"/>
              <w:jc w:val="both"/>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Detailed Content</w:t>
            </w:r>
          </w:p>
        </w:tc>
        <w:tc>
          <w:tcPr>
            <w:tcW w:w="23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0AF41474">
            <w:pPr>
              <w:spacing w:after="0"/>
              <w:jc w:val="both"/>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Teaching Method</w:t>
            </w:r>
          </w:p>
        </w:tc>
        <w:tc>
          <w:tcPr>
            <w:tcW w:w="25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1D8A4014">
            <w:pPr>
              <w:spacing w:after="0"/>
              <w:jc w:val="both"/>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Materials</w:t>
            </w:r>
          </w:p>
        </w:tc>
      </w:tr>
      <w:tr w14:paraId="71FB9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185900C4">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00:52 – 00:56</w:t>
            </w:r>
          </w:p>
        </w:tc>
        <w:tc>
          <w:tcPr>
            <w:tcW w:w="215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6BD31688">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Rapid Q&amp;A</w:t>
            </w:r>
          </w:p>
        </w:tc>
        <w:tc>
          <w:tcPr>
            <w:tcW w:w="6178"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1C7A7086">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Reusable formula — Sentence 1 (Context/Problem): “In African agricultural zones, crop disease X causes major yield losses, but existing vision models require high-compute resources.” Sentence 2 (Method): “We introduce [Model], an offline, quantized network optimized for low-end mobile devices.” Sentence 3 (Impact/Results): “Our approach reaches X% accuracy on local data while cutting inference time by Y% versus baselines.” The formula is shown inside the Overleaf template itself, in the abstract environment participants will fill in.</w:t>
            </w:r>
          </w:p>
        </w:tc>
        <w:tc>
          <w:tcPr>
            <w:tcW w:w="23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62178448">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Open discussion</w:t>
            </w:r>
          </w:p>
        </w:tc>
        <w:tc>
          <w:tcPr>
            <w:tcW w:w="25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52DEA981">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 29 (template); shared LaTeX/Overleaf template; scenario cards</w:t>
            </w:r>
          </w:p>
        </w:tc>
      </w:tr>
      <w:tr w14:paraId="3C46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60B90D44">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00:56 – 01:08</w:t>
            </w:r>
          </w:p>
        </w:tc>
        <w:tc>
          <w:tcPr>
            <w:tcW w:w="21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61D3940A">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Individual / pair drafting in the Overleaf template</w:t>
            </w:r>
          </w:p>
        </w:tc>
        <w:tc>
          <w:tcPr>
            <w:tcW w:w="6178"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334C2285">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Participants (solo or in pairs) pick a scenario card — AI × climate (flood forecasting), agriculture (pest detection, food-crop optimization), health (malaria diagnosis, low-resource clinical NLP), or local languages — and write their 3-sentence abstract directly in their own copy of the shared LaTeX/Overleaf template, together with a working title. Those without connectivity use the printed/offline version and transfer it later. Facilitator circulates to coach. Participants may take as long as they need, using the extended slot.</w:t>
            </w:r>
          </w:p>
        </w:tc>
        <w:tc>
          <w:tcPr>
            <w:tcW w:w="23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0A38B018">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QR code scan</w:t>
            </w:r>
          </w:p>
        </w:tc>
        <w:tc>
          <w:tcPr>
            <w:tcW w:w="25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27846464">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Shared LaTeX/Overleaf template; scenario cards; laptops/phones; pens/paper as backup</w:t>
            </w:r>
          </w:p>
        </w:tc>
      </w:tr>
      <w:tr w14:paraId="30F10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3F2EB724">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01:08 – 01:15</w:t>
            </w:r>
          </w:p>
        </w:tc>
        <w:tc>
          <w:tcPr>
            <w:tcW w:w="215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258DBD66">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Sharing &amp; live feedback</w:t>
            </w:r>
          </w:p>
        </w:tc>
        <w:tc>
          <w:tcPr>
            <w:tcW w:w="6178"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1242A9C9">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Volunteers share their abstract (read aloud or projected from Overleaf); the facilitator gives constructive real-time feedback on clarity and impact, highlighting best practices and valuing ideas rooted in African contexts. Participants who need more time keep writing in their template while others share.</w:t>
            </w:r>
          </w:p>
        </w:tc>
        <w:tc>
          <w:tcPr>
            <w:tcW w:w="23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3DACA1D4">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Peer sharing + expert feedback</w:t>
            </w:r>
          </w:p>
        </w:tc>
        <w:tc>
          <w:tcPr>
            <w:tcW w:w="25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05BC7B50">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Projected Overleaf documents; Slide 30 (feedback criteria)</w:t>
            </w:r>
          </w:p>
        </w:tc>
      </w:tr>
    </w:tbl>
    <w:p>
      <w:pPr>
        <w:pStyle w:val="3"/>
        <w:spacing w:before="260" w:after="120"/>
        <w:rPr>
          <w:rFonts w:hint="default" w:ascii="Times New Roman Regular" w:hAnsi="Times New Roman Regular" w:cs="Times New Roman Regular"/>
          <w:color w:val="auto"/>
          <w:sz w:val="28"/>
          <w:szCs w:val="28"/>
        </w:rPr>
      </w:pPr>
      <w:r>
        <w:rPr>
          <w:rFonts w:hint="default" w:ascii="Times New Roman Regular" w:hAnsi="Times New Roman Regular" w:eastAsia="Calibri" w:cs="Times New Roman Regular"/>
          <w:b/>
          <w:bCs/>
          <w:color w:val="auto"/>
          <w:sz w:val="28"/>
          <w:szCs w:val="28"/>
        </w:rPr>
        <w:t>Block 7 — Extended Discussion, Participant Questions &amp; Closing (01:15 – 01:30 | 15 min)</w:t>
      </w:r>
    </w:p>
    <w:p>
      <w:pPr>
        <w:spacing w:after="160"/>
        <w:rPr>
          <w:rFonts w:hint="default" w:ascii="Times New Roman Regular" w:hAnsi="Times New Roman Regular" w:cs="Times New Roman Regular"/>
          <w:color w:val="auto"/>
          <w:sz w:val="24"/>
          <w:szCs w:val="24"/>
        </w:rPr>
      </w:pPr>
      <w:r>
        <w:rPr>
          <w:rFonts w:hint="default" w:ascii="Times New Roman Regular" w:hAnsi="Times New Roman Regular" w:eastAsia="Calibri" w:cs="Times New Roman Regular"/>
          <w:i/>
          <w:iCs/>
          <w:color w:val="auto"/>
          <w:sz w:val="24"/>
          <w:szCs w:val="24"/>
        </w:rPr>
        <w:t>Focus: use the additional half hour available beyond the initial slot for open discussion and participant questions, then close the loops and launch the call to action.</w:t>
      </w:r>
    </w:p>
    <w:tbl>
      <w:tblPr>
        <w:tblStyle w:val="9"/>
        <w:tblW w:w="146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2150"/>
        <w:gridCol w:w="6178"/>
        <w:gridCol w:w="2300"/>
        <w:gridCol w:w="2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5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pPr>
              <w:spacing w:after="0"/>
              <w:jc w:val="both"/>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Time</w:t>
            </w:r>
          </w:p>
        </w:tc>
        <w:tc>
          <w:tcPr>
            <w:tcW w:w="215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pPr>
              <w:spacing w:after="0"/>
              <w:jc w:val="both"/>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Activity</w:t>
            </w:r>
          </w:p>
        </w:tc>
        <w:tc>
          <w:tcPr>
            <w:tcW w:w="6178"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pPr>
              <w:spacing w:after="0"/>
              <w:jc w:val="both"/>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Detailed Content</w:t>
            </w:r>
          </w:p>
        </w:tc>
        <w:tc>
          <w:tcPr>
            <w:tcW w:w="23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pPr>
              <w:spacing w:after="0"/>
              <w:jc w:val="both"/>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Teaching Method</w:t>
            </w:r>
          </w:p>
        </w:tc>
        <w:tc>
          <w:tcPr>
            <w:tcW w:w="25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pPr>
              <w:spacing w:after="0"/>
              <w:jc w:val="both"/>
              <w:rPr>
                <w:rFonts w:hint="default" w:ascii="Times New Roman Regular" w:hAnsi="Times New Roman Regular" w:cs="Times New Roman Regular"/>
                <w:color w:val="FFFFFF"/>
                <w:sz w:val="24"/>
                <w:szCs w:val="24"/>
              </w:rPr>
            </w:pPr>
            <w:r>
              <w:rPr>
                <w:rFonts w:hint="default" w:ascii="Times New Roman Regular" w:hAnsi="Times New Roman Regular" w:eastAsia="Calibri" w:cs="Times New Roman Regular"/>
                <w:b/>
                <w:bCs/>
                <w:color w:val="FFFFFF"/>
                <w:sz w:val="24"/>
                <w:szCs w:val="24"/>
              </w:rPr>
              <w:t>Materials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01:15 – 01:26</w:t>
            </w:r>
          </w:p>
        </w:tc>
        <w:tc>
          <w:tcPr>
            <w:tcW w:w="215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Rapid Q&amp;A</w:t>
            </w:r>
          </w:p>
        </w:tc>
        <w:tc>
          <w:tcPr>
            <w:tcW w:w="6178"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Open, unhurried discussion driven by participants: submission processes, handling reviewer rebuttals, choosing venues, finding co-authors and mentors, funding and ethics of local data collection, individual feedback on the abstracts drafted in the template. Participants who wish to keep writing may continue in their Overleaf copy while the discussion runs.</w:t>
            </w:r>
          </w:p>
        </w:tc>
        <w:tc>
          <w:tcPr>
            <w:tcW w:w="23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Open discussion</w:t>
            </w:r>
          </w:p>
        </w:tc>
        <w:tc>
          <w:tcPr>
            <w:tcW w:w="25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QR code (Resource Kit) displayed on screen; Overleaf template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01:26 – 01:30</w:t>
            </w:r>
          </w:p>
        </w:tc>
        <w:tc>
          <w:tcPr>
            <w:tcW w:w="215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Closing call-to-action</w:t>
            </w:r>
          </w:p>
        </w:tc>
        <w:tc>
          <w:tcPr>
            <w:tcW w:w="6178"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Recap of the two key skills; final message on African narrative sovereignty: “Master the scientific narrative so Africa tells its own research stories.” Challenge: “Your first submitted paper within 6 months.” Reminder of the Resource Kit QR code and facilitator contact for follow-up.</w:t>
            </w:r>
          </w:p>
        </w:tc>
        <w:tc>
          <w:tcPr>
            <w:tcW w:w="23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QR code scan</w:t>
            </w:r>
          </w:p>
        </w:tc>
        <w:tc>
          <w:tcPr>
            <w:tcW w:w="25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pPr>
              <w:spacing w:after="0"/>
              <w:jc w:val="both"/>
              <w:rPr>
                <w:rFonts w:hint="default" w:ascii="Times New Roman Regular" w:hAnsi="Times New Roman Regular" w:cs="Times New Roman Regular"/>
                <w:color w:val="000000"/>
                <w:sz w:val="24"/>
                <w:szCs w:val="24"/>
              </w:rPr>
            </w:pPr>
            <w:r>
              <w:rPr>
                <w:rFonts w:hint="default" w:ascii="Times New Roman Regular" w:hAnsi="Times New Roman Regular" w:eastAsia="Calibri" w:cs="Times New Roman Regular"/>
                <w:color w:val="000000"/>
                <w:sz w:val="24"/>
                <w:szCs w:val="24"/>
              </w:rPr>
              <w:t>Slide 31 (thanks + contact + QR code)</w:t>
            </w:r>
          </w:p>
        </w:tc>
      </w:tr>
    </w:tbl>
    <w:p w14:paraId="35D47254">
      <w:pPr>
        <w:rPr>
          <w:rFonts w:hint="default" w:ascii="Times New Roman Regular" w:hAnsi="Times New Roman Regular" w:cs="Times New Roman Regular"/>
          <w:color w:val="auto"/>
        </w:rPr>
        <w:sectPr>
          <w:pgSz w:w="16838" w:h="11906" w:orient="landscape"/>
          <w:pgMar w:top="1080" w:right="1080" w:bottom="1080" w:left="1080" w:header="708" w:footer="708" w:gutter="0"/>
          <w:cols w:space="720" w:num="1"/>
          <w:docGrid w:linePitch="360" w:charSpace="0"/>
        </w:sectPr>
      </w:pPr>
    </w:p>
    <w:p w14:paraId="4D284E2F">
      <w:pPr>
        <w:pStyle w:val="2"/>
        <w:spacing w:before="320" w:after="160"/>
        <w:rPr>
          <w:rFonts w:hint="default" w:ascii="Times New Roman Regular" w:hAnsi="Times New Roman Regular" w:cs="Times New Roman Regular"/>
          <w:color w:val="auto"/>
          <w:sz w:val="28"/>
          <w:szCs w:val="28"/>
        </w:rPr>
      </w:pPr>
      <w:r>
        <w:rPr>
          <w:rFonts w:hint="default" w:ascii="Times New Roman Regular" w:hAnsi="Times New Roman Regular" w:eastAsia="Calibri" w:cs="Times New Roman Regular"/>
          <w:b/>
          <w:bCs/>
          <w:color w:val="auto"/>
          <w:sz w:val="28"/>
          <w:szCs w:val="28"/>
        </w:rPr>
        <w:t>5. Pedagogical Approach Summary</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1900"/>
        <w:gridCol w:w="3846"/>
      </w:tblGrid>
      <w:tr w14:paraId="2843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0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044E6C30">
            <w:pPr>
              <w:spacing w:after="0"/>
              <w:jc w:val="left"/>
              <w:rPr>
                <w:rFonts w:hint="default" w:ascii="Times New Roman Regular" w:hAnsi="Times New Roman Regular" w:cs="Times New Roman Regular"/>
                <w:color w:val="FFFFFF"/>
              </w:rPr>
            </w:pPr>
            <w:r>
              <w:rPr>
                <w:rFonts w:hint="default" w:ascii="Times New Roman Regular" w:hAnsi="Times New Roman Regular" w:eastAsia="Calibri" w:cs="Times New Roman Regular"/>
                <w:b/>
                <w:bCs/>
                <w:color w:val="FFFFFF"/>
                <w:sz w:val="21"/>
                <w:szCs w:val="21"/>
              </w:rPr>
              <w:t>Method</w:t>
            </w:r>
          </w:p>
        </w:tc>
        <w:tc>
          <w:tcPr>
            <w:tcW w:w="1900"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7A61794E">
            <w:pPr>
              <w:spacing w:after="0"/>
              <w:jc w:val="left"/>
              <w:rPr>
                <w:rFonts w:hint="default" w:ascii="Times New Roman Regular" w:hAnsi="Times New Roman Regular" w:cs="Times New Roman Regular"/>
                <w:color w:val="FFFFFF"/>
              </w:rPr>
            </w:pPr>
            <w:r>
              <w:rPr>
                <w:rFonts w:hint="default" w:ascii="Times New Roman Regular" w:hAnsi="Times New Roman Regular" w:eastAsia="Calibri" w:cs="Times New Roman Regular"/>
                <w:b/>
                <w:bCs/>
                <w:color w:val="FFFFFF"/>
                <w:sz w:val="21"/>
                <w:szCs w:val="21"/>
              </w:rPr>
              <w:t>Where Used</w:t>
            </w:r>
          </w:p>
        </w:tc>
        <w:tc>
          <w:tcPr>
            <w:tcW w:w="3846" w:type="dxa"/>
            <w:tcBorders>
              <w:top w:val="single" w:color="9BBB59" w:sz="8" w:space="0"/>
              <w:left w:val="single" w:color="9BBB59" w:sz="8" w:space="0"/>
              <w:bottom w:val="single" w:color="FFFFFF" w:sz="18" w:space="0"/>
              <w:right w:val="single" w:color="9BBB59" w:sz="8" w:space="0"/>
            </w:tcBorders>
            <w:shd w:val="clear" w:color="auto" w:fill="9BBB59"/>
            <w:tcMar>
              <w:top w:w="80" w:type="dxa"/>
              <w:left w:w="110" w:type="dxa"/>
              <w:bottom w:w="80" w:type="dxa"/>
              <w:right w:w="110" w:type="dxa"/>
            </w:tcMar>
            <w:vAlign w:val="center"/>
          </w:tcPr>
          <w:p w14:paraId="0B7539B1">
            <w:pPr>
              <w:spacing w:after="0"/>
              <w:jc w:val="left"/>
              <w:rPr>
                <w:rFonts w:hint="default" w:ascii="Times New Roman Regular" w:hAnsi="Times New Roman Regular" w:cs="Times New Roman Regular"/>
                <w:color w:val="FFFFFF"/>
              </w:rPr>
            </w:pPr>
            <w:r>
              <w:rPr>
                <w:rFonts w:hint="default" w:ascii="Times New Roman Regular" w:hAnsi="Times New Roman Regular" w:eastAsia="Calibri" w:cs="Times New Roman Regular"/>
                <w:b/>
                <w:bCs/>
                <w:color w:val="FFFFFF"/>
                <w:sz w:val="21"/>
                <w:szCs w:val="21"/>
              </w:rPr>
              <w:t>Purpose</w:t>
            </w:r>
          </w:p>
        </w:tc>
      </w:tr>
      <w:tr w14:paraId="34C65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6B51D704">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Icebreaker &amp; flash polls</w:t>
            </w:r>
          </w:p>
        </w:tc>
        <w:tc>
          <w:tcPr>
            <w:tcW w:w="1900"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78E6E2B6">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Blocks 1, 2</w:t>
            </w:r>
          </w:p>
        </w:tc>
        <w:tc>
          <w:tcPr>
            <w:tcW w:w="3846" w:type="dxa"/>
            <w:tcBorders>
              <w:top w:val="single" w:color="FFFFFF" w:sz="1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0CA829D6">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Engagement, needs sensing</w:t>
            </w:r>
          </w:p>
        </w:tc>
      </w:tr>
      <w:tr w14:paraId="37ED8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5665C80B">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Guided walkthrough of annotated real papers</w:t>
            </w:r>
          </w:p>
        </w:tc>
        <w:tc>
          <w:tcPr>
            <w:tcW w:w="19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3C459A7A">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Blocks 2, 3</w:t>
            </w:r>
          </w:p>
        </w:tc>
        <w:tc>
          <w:tcPr>
            <w:tcW w:w="3846"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55ECE874">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Concrete modeling of expert behavior</w:t>
            </w:r>
          </w:p>
        </w:tc>
      </w:tr>
      <w:tr w14:paraId="59D75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61E3EF02">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Live demonstration + think-aloud</w:t>
            </w:r>
          </w:p>
        </w:tc>
        <w:tc>
          <w:tcPr>
            <w:tcW w:w="19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2855487A">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Block 3</w:t>
            </w:r>
          </w:p>
        </w:tc>
        <w:tc>
          <w:tcPr>
            <w:tcW w:w="3846"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38958D51">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Making the reading process visible</w:t>
            </w:r>
          </w:p>
        </w:tc>
      </w:tr>
      <w:tr w14:paraId="0A6A7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7006E1B7">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Before/after examples &amp; spot-the-error quizzes</w:t>
            </w:r>
          </w:p>
        </w:tc>
        <w:tc>
          <w:tcPr>
            <w:tcW w:w="19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5C9DDDC2">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Block 4</w:t>
            </w:r>
          </w:p>
        </w:tc>
        <w:tc>
          <w:tcPr>
            <w:tcW w:w="3846"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36F0CE2F">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Active learning, critical judgment</w:t>
            </w:r>
          </w:p>
        </w:tc>
      </w:tr>
      <w:tr w14:paraId="1B755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34E0D81F">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Guided practice (3-sentence abstract written in the Overleaf template)</w:t>
            </w:r>
          </w:p>
        </w:tc>
        <w:tc>
          <w:tcPr>
            <w:tcW w:w="19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5D6B784B">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Block 6</w:t>
            </w:r>
          </w:p>
        </w:tc>
        <w:tc>
          <w:tcPr>
            <w:tcW w:w="3846"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1EAE4E95">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Immediate skill transfer</w:t>
            </w:r>
          </w:p>
        </w:tc>
      </w:tr>
      <w:tr w14:paraId="47F6F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56D174F6">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Peer sharing + expert feedback</w:t>
            </w:r>
          </w:p>
        </w:tc>
        <w:tc>
          <w:tcPr>
            <w:tcW w:w="1900"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4F37290B">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Block 6</w:t>
            </w:r>
          </w:p>
        </w:tc>
        <w:tc>
          <w:tcPr>
            <w:tcW w:w="3846" w:type="dxa"/>
            <w:tcBorders>
              <w:top w:val="single" w:color="9BBB59" w:sz="8" w:space="0"/>
              <w:left w:val="single" w:color="9BBB59" w:sz="8" w:space="0"/>
              <w:bottom w:val="single" w:color="9BBB59" w:sz="8" w:space="0"/>
              <w:right w:val="single" w:color="9BBB59" w:sz="8" w:space="0"/>
            </w:tcBorders>
            <w:shd w:val="clear" w:color="auto" w:fill="FFFFFF"/>
            <w:tcMar>
              <w:top w:w="80" w:type="dxa"/>
              <w:left w:w="110" w:type="dxa"/>
              <w:bottom w:w="80" w:type="dxa"/>
              <w:right w:w="110" w:type="dxa"/>
            </w:tcMar>
            <w:vAlign w:val="center"/>
          </w:tcPr>
          <w:p w14:paraId="278BF143">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Formative assessment</w:t>
            </w:r>
          </w:p>
        </w:tc>
      </w:tr>
      <w:tr w14:paraId="4769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47629964">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Resource Kit shared from slide 1 (QR code on every slide)</w:t>
            </w:r>
          </w:p>
        </w:tc>
        <w:tc>
          <w:tcPr>
            <w:tcW w:w="1900"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0FA13E57">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Blocks 1 &amp; 5</w:t>
            </w:r>
          </w:p>
        </w:tc>
        <w:tc>
          <w:tcPr>
            <w:tcW w:w="3846" w:type="dxa"/>
            <w:tcBorders>
              <w:top w:val="single" w:color="9BBB59" w:sz="8" w:space="0"/>
              <w:left w:val="single" w:color="9BBB59" w:sz="8" w:space="0"/>
              <w:bottom w:val="single" w:color="9BBB59" w:sz="8" w:space="0"/>
              <w:right w:val="single" w:color="9BBB59" w:sz="8" w:space="0"/>
            </w:tcBorders>
            <w:shd w:val="clear" w:color="auto" w:fill="D7E3BC"/>
            <w:tcMar>
              <w:top w:w="80" w:type="dxa"/>
              <w:left w:w="110" w:type="dxa"/>
              <w:bottom w:w="80" w:type="dxa"/>
              <w:right w:w="110" w:type="dxa"/>
            </w:tcMar>
            <w:vAlign w:val="center"/>
          </w:tcPr>
          <w:p w14:paraId="14194B3D">
            <w:pPr>
              <w:spacing w:after="0"/>
              <w:jc w:val="left"/>
              <w:rPr>
                <w:rFonts w:hint="default" w:ascii="Times New Roman Regular" w:hAnsi="Times New Roman Regular" w:cs="Times New Roman Regular"/>
                <w:color w:val="000000"/>
              </w:rPr>
            </w:pPr>
            <w:r>
              <w:rPr>
                <w:rFonts w:hint="default" w:ascii="Times New Roman Regular" w:hAnsi="Times New Roman Regular" w:eastAsia="Calibri" w:cs="Times New Roman Regular"/>
                <w:color w:val="000000"/>
                <w:sz w:val="21"/>
                <w:szCs w:val="21"/>
              </w:rPr>
              <w:t>Immediate access to the template during the exercise; autonomous continuation afterwards</w:t>
            </w:r>
          </w:p>
        </w:tc>
      </w:tr>
    </w:tbl>
    <w:p w14:paraId="792615BE">
      <w:pPr>
        <w:pStyle w:val="2"/>
        <w:spacing w:before="320" w:after="160"/>
        <w:rPr>
          <w:rFonts w:hint="default" w:ascii="Times New Roman Regular" w:hAnsi="Times New Roman Regular" w:cs="Times New Roman Regular"/>
          <w:b/>
          <w:bCs/>
          <w:color w:val="auto"/>
          <w:sz w:val="28"/>
          <w:szCs w:val="28"/>
          <w:lang w:val="en-US"/>
        </w:rPr>
      </w:pPr>
    </w:p>
    <w:p w14:paraId="7D4C3C37">
      <w:pPr>
        <w:pStyle w:val="2"/>
        <w:spacing w:before="320" w:after="160"/>
        <w:rPr>
          <w:rFonts w:hint="default" w:ascii="Times New Roman Regular" w:hAnsi="Times New Roman Regular" w:cs="Times New Roman Regular"/>
          <w:color w:val="auto"/>
          <w:sz w:val="28"/>
          <w:szCs w:val="28"/>
        </w:rPr>
      </w:pPr>
      <w:r>
        <w:rPr>
          <w:rFonts w:hint="default" w:ascii="Times New Roman Regular" w:hAnsi="Times New Roman Regular" w:cs="Times New Roman Regular"/>
          <w:b/>
          <w:bCs/>
          <w:color w:val="auto"/>
          <w:sz w:val="28"/>
          <w:szCs w:val="28"/>
          <w:lang w:val="en-US"/>
        </w:rPr>
        <w:t>6</w:t>
      </w:r>
      <w:r>
        <w:rPr>
          <w:rFonts w:hint="default" w:ascii="Times New Roman Regular" w:hAnsi="Times New Roman Regular" w:eastAsia="Calibri" w:cs="Times New Roman Regular"/>
          <w:b/>
          <w:bCs/>
          <w:color w:val="auto"/>
          <w:sz w:val="28"/>
          <w:szCs w:val="28"/>
        </w:rPr>
        <w:t>. Expected Outcomes &amp; Follow-Up</w:t>
      </w:r>
    </w:p>
    <w:p w14:paraId="582274BB">
      <w:pPr>
        <w:pStyle w:val="16"/>
        <w:numPr>
          <w:ilvl w:val="0"/>
          <w:numId w:val="2"/>
        </w:numPr>
        <w:spacing w:after="80"/>
        <w:jc w:val="both"/>
        <w:rPr>
          <w:rFonts w:hint="default" w:ascii="Times New Roman Regular" w:hAnsi="Times New Roman Regular" w:cs="Times New Roman Regular"/>
          <w:color w:val="auto"/>
          <w:sz w:val="24"/>
          <w:szCs w:val="24"/>
        </w:rPr>
      </w:pPr>
      <w:r>
        <w:rPr>
          <w:rFonts w:hint="default" w:ascii="Times New Roman Regular" w:hAnsi="Times New Roman Regular" w:eastAsia="Calibri" w:cs="Times New Roman Regular"/>
          <w:b/>
          <w:bCs/>
          <w:color w:val="auto"/>
          <w:sz w:val="24"/>
          <w:szCs w:val="24"/>
        </w:rPr>
        <w:t xml:space="preserve">Immediate: </w:t>
      </w:r>
      <w:r>
        <w:rPr>
          <w:rFonts w:hint="default" w:ascii="Times New Roman Regular" w:hAnsi="Times New Roman Regular" w:eastAsia="Calibri" w:cs="Times New Roman Regular"/>
          <w:color w:val="auto"/>
          <w:sz w:val="24"/>
          <w:szCs w:val="24"/>
        </w:rPr>
        <w:t>every participant leaves with a 3-sentence abstract already drafted inside their own copy of the LaTeX/Overleaf template — a practical document they can keep developing — plus the complete Resource Kit.</w:t>
      </w:r>
    </w:p>
    <w:p w14:paraId="5E3A9427">
      <w:pPr>
        <w:pStyle w:val="16"/>
        <w:numPr>
          <w:ilvl w:val="0"/>
          <w:numId w:val="2"/>
        </w:numPr>
        <w:spacing w:after="80"/>
        <w:jc w:val="both"/>
        <w:rPr>
          <w:rFonts w:hint="default" w:ascii="Times New Roman Regular" w:hAnsi="Times New Roman Regular" w:cs="Times New Roman Regular"/>
          <w:color w:val="auto"/>
          <w:sz w:val="24"/>
          <w:szCs w:val="24"/>
        </w:rPr>
      </w:pPr>
      <w:r>
        <w:rPr>
          <w:rFonts w:hint="default" w:ascii="Times New Roman Regular" w:hAnsi="Times New Roman Regular" w:eastAsia="Calibri" w:cs="Times New Roman Regular"/>
          <w:b/>
          <w:bCs/>
          <w:color w:val="auto"/>
          <w:sz w:val="24"/>
          <w:szCs w:val="24"/>
        </w:rPr>
        <w:t xml:space="preserve">Short term (1–3 months): </w:t>
      </w:r>
      <w:r>
        <w:rPr>
          <w:rFonts w:hint="default" w:ascii="Times New Roman Regular" w:hAnsi="Times New Roman Regular" w:eastAsia="Calibri" w:cs="Times New Roman Regular"/>
          <w:color w:val="auto"/>
          <w:sz w:val="24"/>
          <w:szCs w:val="24"/>
        </w:rPr>
        <w:t>part</w:t>
      </w:r>
      <w:bookmarkStart w:id="0" w:name="_GoBack"/>
      <w:bookmarkEnd w:id="0"/>
      <w:r>
        <w:rPr>
          <w:rFonts w:hint="default" w:ascii="Times New Roman Regular" w:hAnsi="Times New Roman Regular" w:eastAsia="Calibri" w:cs="Times New Roman Regular"/>
          <w:color w:val="auto"/>
          <w:sz w:val="24"/>
          <w:szCs w:val="24"/>
        </w:rPr>
        <w:t>icipants apply the 3-Pass method to their literature reviews and use the templates for their first drafts.</w:t>
      </w:r>
    </w:p>
    <w:p w14:paraId="18D0A51B">
      <w:pPr>
        <w:pStyle w:val="16"/>
        <w:numPr>
          <w:ilvl w:val="0"/>
          <w:numId w:val="2"/>
        </w:numPr>
        <w:spacing w:after="80"/>
        <w:jc w:val="both"/>
        <w:rPr>
          <w:rFonts w:hint="default" w:ascii="Times New Roman Regular" w:hAnsi="Times New Roman Regular" w:cs="Times New Roman Regular"/>
          <w:color w:val="auto"/>
          <w:sz w:val="24"/>
          <w:szCs w:val="24"/>
        </w:rPr>
      </w:pPr>
      <w:r>
        <w:rPr>
          <w:rFonts w:hint="default" w:ascii="Times New Roman Regular" w:hAnsi="Times New Roman Regular" w:eastAsia="Calibri" w:cs="Times New Roman Regular"/>
          <w:b/>
          <w:bCs/>
          <w:color w:val="auto"/>
          <w:sz w:val="24"/>
          <w:szCs w:val="24"/>
        </w:rPr>
        <w:t xml:space="preserve">Medium term (6 months): </w:t>
      </w:r>
      <w:r>
        <w:rPr>
          <w:rFonts w:hint="default" w:ascii="Times New Roman Regular" w:hAnsi="Times New Roman Regular" w:eastAsia="Calibri" w:cs="Times New Roman Regular"/>
          <w:color w:val="auto"/>
          <w:sz w:val="24"/>
          <w:szCs w:val="24"/>
        </w:rPr>
        <w:t>target of first paper submissions to workshops, national conferences, or international venues (e.g., Deep Learning Indaba, AfricaNLP, NeurIPS workshops).</w:t>
      </w:r>
    </w:p>
    <w:p w14:paraId="03ACB273">
      <w:pPr>
        <w:pStyle w:val="16"/>
        <w:numPr>
          <w:ilvl w:val="0"/>
          <w:numId w:val="2"/>
        </w:numPr>
        <w:spacing w:after="80"/>
        <w:jc w:val="both"/>
        <w:rPr>
          <w:rFonts w:hint="default" w:ascii="Times New Roman Regular" w:hAnsi="Times New Roman Regular" w:cs="Times New Roman Regular"/>
          <w:color w:val="auto"/>
          <w:sz w:val="24"/>
          <w:szCs w:val="24"/>
        </w:rPr>
      </w:pPr>
      <w:r>
        <w:rPr>
          <w:rFonts w:hint="default" w:ascii="Times New Roman Regular" w:hAnsi="Times New Roman Regular" w:eastAsia="Calibri" w:cs="Times New Roman Regular"/>
          <w:b/>
          <w:bCs/>
          <w:color w:val="auto"/>
          <w:sz w:val="24"/>
          <w:szCs w:val="24"/>
        </w:rPr>
        <w:t xml:space="preserve">Follow-up channel: </w:t>
      </w:r>
      <w:r>
        <w:rPr>
          <w:rFonts w:hint="default" w:ascii="Times New Roman Regular" w:hAnsi="Times New Roman Regular" w:eastAsia="Calibri" w:cs="Times New Roman Regular"/>
          <w:color w:val="auto"/>
          <w:sz w:val="24"/>
          <w:szCs w:val="24"/>
        </w:rPr>
        <w:t>facilitator remains reachable by email for mentoring questions; participants are encouraged to share the kit with peers, amplifying the session's contribution to Africa's Sovereign Intelligence.</w:t>
      </w:r>
    </w:p>
    <w:sectPr>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Light">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848D49"/>
    <w:multiLevelType w:val="singleLevel"/>
    <w:tmpl w:val="FF848D49"/>
    <w:lvl w:ilvl="0" w:tentative="0">
      <w:start w:val="1"/>
      <w:numFmt w:val="bullet"/>
      <w:lvlText w:val="•"/>
      <w:lvlJc w:val="left"/>
      <w:pPr>
        <w:ind w:left="460" w:hanging="230"/>
      </w:pPr>
    </w:lvl>
  </w:abstractNum>
  <w:abstractNum w:abstractNumId="1">
    <w:nsid w:val="7D5782E6"/>
    <w:multiLevelType w:val="singleLevel"/>
    <w:tmpl w:val="7D5782E6"/>
    <w:lvl w:ilvl="0" w:tentative="0">
      <w:start w:val="1"/>
      <w:numFmt w:val="decimal"/>
      <w:lvlText w:val="%1."/>
      <w:lvlJc w:val="left"/>
      <w:pPr>
        <w:ind w:left="460" w:hanging="30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F259A6C"/>
    <w:rsid w:val="7BFF70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uiPriority="99"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iPriority="99" w:name="endnote reference"/>
    <w:lsdException w:uiPriority="99"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qFormat="1" w:unhideWhenUsed="0" w:uiPriority="0" w:semiHidden="0" w:name="Table Subtle 2"/>
    <w:lsdException w:qFormat="1"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1885</Words>
  <Characters>10952</Characters>
  <TotalTime>59</TotalTime>
  <ScaleCrop>false</ScaleCrop>
  <LinksUpToDate>false</LinksUpToDate>
  <CharactersWithSpaces>12596</CharactersWithSpaces>
  <Application>WPS Office_12.1.21937.21937_F1E327BC-269C-435d-A152-05C5408002CA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Castro Hounmenou</cp:lastModifiedBy>
  <dcterms:modified xsi:type="dcterms:W3CDTF">2026-07-04T06:00:23Z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6161EDD3B72CB773AF9D486A21E12981_42</vt:lpwstr>
  </property>
</Properties>
</file>