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0A2463"/>
          <w:sz w:val="72"/>
          <w:szCs w:val="72"/>
        </w:rPr>
        <w:t xml:space="preserve">DEEPTRACK</w:t>
      </w:r>
    </w:p>
    <w:p>
      <w:pPr>
        <w:spacing w:before="80"/>
        <w:jc w:val="center"/>
      </w:pPr>
      <w:r>
        <w:rPr>
          <w:rFonts w:ascii="Arial" w:cs="Arial" w:eastAsia="Arial" w:hAnsi="Arial"/>
          <w:color w:val="1E88E5"/>
          <w:sz w:val="26"/>
          <w:szCs w:val="26"/>
        </w:rPr>
        <w:t xml:space="preserve">AI-Powered Deepfake Detection Platform</w:t>
      </w:r>
    </w:p>
    <w:p>
      <w:pPr>
        <w:spacing w:after="0" w:before="4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none" w:color="FFFFFF" w:sz="0"/>
              <w:left w:val="none" w:color="FFFFFF" w:sz="0"/>
              <w:bottom w:val="none" w:color="FFFFFF" w:sz="0"/>
              <w:right w:val="none" w:color="FFFFFF" w:sz="0"/>
            </w:tcBorders>
            <w:shd w:fill="0A2463" w:val="clear"/>
            <w:tcMar>
              <w:top w:type="dxa" w:w="280"/>
              <w:left w:type="dxa" w:w="560"/>
              <w:bottom w:type="dxa" w:w="280"/>
              <w:right w:type="dxa" w:w="560"/>
            </w:tcMar>
          </w:tcPr>
          <w:p>
            <w:pPr>
              <w:jc w:val="center"/>
            </w:pPr>
            <w:r>
              <w:rPr>
                <w:rFonts w:ascii="Arial" w:cs="Arial" w:eastAsia="Arial" w:hAnsi="Arial"/>
                <w:b/>
                <w:bCs/>
                <w:color w:val="FFFFFF"/>
                <w:sz w:val="40"/>
                <w:szCs w:val="40"/>
              </w:rPr>
              <w:t xml:space="preserve">CLIENT PLATFORM SPEC</w:t>
            </w:r>
          </w:p>
          <w:p>
            <w:pPr>
              <w:spacing w:before="100"/>
              <w:jc w:val="center"/>
            </w:pPr>
            <w:r>
              <w:rPr>
                <w:rFonts w:ascii="Arial" w:cs="Arial" w:eastAsia="Arial" w:hAnsi="Arial"/>
                <w:color w:val="BBDEFB"/>
                <w:sz w:val="22"/>
                <w:szCs w:val="22"/>
              </w:rPr>
              <w:t xml:space="preserve">Client Portal  ·  Admin Panel  ·  Telemetry Schema  ·  Event Architecture</w:t>
            </w:r>
          </w:p>
        </w:tc>
      </w:tr>
    </w:tbl>
    <w:p>
      <w:pPr>
        <w:spacing w:after="0" w:before="400"/>
      </w:pPr>
      <w:r>
        <w:t xml:space="preserve"/>
      </w:r>
    </w:p>
    <w:p>
      <w:pPr>
        <w:jc w:val="center"/>
      </w:pPr>
      <w:r>
        <w:rPr>
          <w:rFonts w:ascii="Arial" w:cs="Arial" w:eastAsia="Arial" w:hAnsi="Arial"/>
          <w:color w:val="4A4A6A"/>
          <w:sz w:val="20"/>
          <w:szCs w:val="20"/>
        </w:rPr>
        <w:t xml:space="preserve">KYC  ·  KYB  ·  KYI Verification Platform  |  Product Engineering Document</w:t>
      </w:r>
    </w:p>
    <w:p>
      <w:pPr>
        <w:spacing w:before="80"/>
        <w:jc w:val="center"/>
      </w:pPr>
      <w:r>
        <w:rPr>
          <w:rFonts w:ascii="Arial" w:cs="Arial" w:eastAsia="Arial" w:hAnsi="Arial"/>
          <w:color w:val="4A4A6A"/>
          <w:sz w:val="20"/>
          <w:szCs w:val="20"/>
        </w:rPr>
        <w:t xml:space="preserve">Version 2.0  |  March 2026</w:t>
      </w:r>
    </w:p>
    <w:p>
      <w:pPr>
        <w:spacing w:after="0" w:before="600"/>
      </w:pPr>
      <w: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c>
          <w:tcPr>
            <w:tcW w:type="dxa" w:w="2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6A"/>
                <w:sz w:val="19"/>
                <w:szCs w:val="19"/>
              </w:rPr>
              <w:t xml:space="preserve">Prepared by:</w:t>
            </w:r>
          </w:p>
          <w:p>
            <w:r>
              <w:rPr>
                <w:rFonts w:ascii="Arial" w:cs="Arial" w:eastAsia="Arial" w:hAnsi="Arial"/>
                <w:b/>
                <w:bCs/>
                <w:color w:val="0A2463"/>
                <w:sz w:val="20"/>
                <w:szCs w:val="20"/>
              </w:rPr>
              <w:t xml:space="preserve">Brian Koyundi</w:t>
            </w:r>
          </w:p>
          <w:p>
            <w:r>
              <w:rPr>
                <w:rFonts w:ascii="Arial" w:cs="Arial" w:eastAsia="Arial" w:hAnsi="Arial"/>
                <w:color w:val="4A4A6A"/>
                <w:sz w:val="19"/>
                <w:szCs w:val="19"/>
              </w:rPr>
              <w:t xml:space="preserve">Founder, Deeptrack</w:t>
            </w:r>
          </w:p>
        </w:tc>
        <w:tc>
          <w:tcPr>
            <w:tcW w:type="dxa" w:w="2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4A4A6A"/>
                <w:sz w:val="19"/>
                <w:szCs w:val="19"/>
              </w:rPr>
              <w:t xml:space="preserve">Stack:</w:t>
            </w:r>
          </w:p>
          <w:p>
            <w:r>
              <w:rPr>
                <w:rFonts w:ascii="Arial" w:cs="Arial" w:eastAsia="Arial" w:hAnsi="Arial"/>
                <w:b/>
                <w:bCs/>
                <w:color w:val="0A2463"/>
                <w:sz w:val="20"/>
                <w:szCs w:val="20"/>
              </w:rPr>
              <w:t xml:space="preserve">React · Convex · AWS · GCP</w:t>
            </w:r>
          </w:p>
          <w:p>
            <w:r>
              <w:rPr>
                <w:rFonts w:ascii="Arial" w:cs="Arial" w:eastAsia="Arial" w:hAnsi="Arial"/>
                <w:color w:val="4A4A6A"/>
                <w:sz w:val="19"/>
                <w:szCs w:val="19"/>
              </w:rPr>
              <w:t xml:space="preserve">deeptrack.io</w:t>
            </w:r>
          </w:p>
        </w:tc>
      </w:tr>
    </w:tbl>
    <w:p>
      <w:pPr>
        <w:sectPr>
          <w:pgSz w:w="12240" w:h="15840" w:orient="portrait"/>
          <w:pgMar w:top="1080" w:right="1440" w:bottom="1080" w:left="1440" w:header="708" w:footer="708" w:gutter="0"/>
          <w:pgNumType/>
          <w:docGrid w:linePitch="360"/>
        </w:sectPr>
      </w:pPr>
    </w:p>
    <w:p>
      <w:pPr>
        <w:pStyle w:val="Heading1"/>
        <w:pBdr>
          <w:bottom w:val="single" w:color="1E88E5" w:sz="8" w:space="6"/>
        </w:pBdr>
        <w:spacing w:after="160" w:before="360"/>
      </w:pPr>
      <w:r>
        <w:rPr>
          <w:rFonts w:ascii="Arial" w:cs="Arial" w:eastAsia="Arial" w:hAnsi="Arial"/>
          <w:b/>
          <w:bCs/>
          <w:color w:val="0A2463"/>
          <w:sz w:val="28"/>
          <w:szCs w:val="28"/>
        </w:rPr>
        <w:t xml:space="preserve">Part 1 — Client Portal &amp; Admin Panel Specification</w:t>
      </w:r>
    </w:p>
    <w:p>
      <w:pPr>
        <w:spacing w:after="80" w:before="80" w:line="340"/>
      </w:pPr>
      <w:r>
        <w:rPr>
          <w:rFonts w:ascii="Arial" w:cs="Arial" w:eastAsia="Arial" w:hAnsi="Arial"/>
          <w:color w:val="1A1A2E"/>
          <w:sz w:val="19"/>
          <w:szCs w:val="19"/>
        </w:rPr>
        <w:t xml:space="preserve">Deeptrack's platform is a client-facing SaaS product. Enterprise clients — fintechs, banks, insurance companies, and government entities — log in to manage their own verification workflows, review flagged cases, access their API keys, and export compliance reports.</w:t>
      </w:r>
    </w:p>
    <w:p>
      <w:pPr>
        <w:spacing w:after="0" w:before="80"/>
      </w:pPr>
      <w:r>
        <w:t xml:space="preserve"/>
      </w:r>
    </w:p>
    <w:p>
      <w:pPr>
        <w:spacing w:after="80" w:before="80" w:line="340"/>
      </w:pPr>
      <w:r>
        <w:rPr>
          <w:rFonts w:ascii="Arial" w:cs="Arial" w:eastAsia="Arial" w:hAnsi="Arial"/>
          <w:color w:val="1A1A2E"/>
          <w:sz w:val="19"/>
          <w:szCs w:val="19"/>
        </w:rPr>
        <w:t xml:space="preserve">There are two distinct access layers: the Deeptrack internal layer (used by the Deeptrack team to manage the platform globally) and the client layer (what each paying client sees and interacts with). These are completely separate. No client can see another client's data under any circumstance.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8E5" w:sz="10"/>
              <w:bottom w:val="none" w:color="FFFFFF" w:sz="0"/>
              <w:right w:val="none" w:color="FFFFFF" w:sz="0"/>
            </w:tcBorders>
            <w:shd w:fill="E8F0FE" w:val="clear"/>
            <w:tcMar>
              <w:top w:type="dxa" w:w="120"/>
              <w:left w:type="dxa" w:w="240"/>
              <w:bottom w:type="dxa" w:w="120"/>
              <w:right w:type="dxa" w:w="240"/>
            </w:tcMar>
          </w:tcPr>
          <w:p>
            <w:r>
              <w:rPr>
                <w:rFonts w:ascii="Arial" w:cs="Arial" w:eastAsia="Arial" w:hAnsi="Arial"/>
                <w:color w:val="0A2463"/>
                <w:sz w:val="18"/>
                <w:szCs w:val="18"/>
              </w:rPr>
              <w:t xml:space="preserve">Everything in this spec — dashboards, queues, reports, audit trails — is what the client experiences. Deeptrack's internal team has a separate back-end operator view used for support, billing, and platform health only.</w:t>
            </w:r>
          </w:p>
        </w:tc>
      </w:tr>
    </w:tbl>
    <w:p>
      <w:pPr>
        <w:spacing w:after="0" w:before="200"/>
      </w:pPr>
      <w:r>
        <w:t xml:space="preserve"/>
      </w:r>
    </w:p>
    <w:p>
      <w:pPr>
        <w:spacing w:after="120" w:before="280"/>
      </w:pPr>
      <w:r>
        <w:rPr>
          <w:rFonts w:ascii="Arial" w:cs="Arial" w:eastAsia="Arial" w:hAnsi="Arial"/>
          <w:b/>
          <w:bCs/>
          <w:color w:val="0A2463"/>
          <w:sz w:val="22"/>
          <w:szCs w:val="22"/>
        </w:rPr>
        <w:t xml:space="preserve">1.1  Two-Layer Access Architecture</w:t>
      </w:r>
    </w:p>
    <w:p>
      <w:pPr>
        <w:spacing w:after="80" w:before="80" w:line="340"/>
      </w:pPr>
      <w:r>
        <w:rPr>
          <w:rFonts w:ascii="Arial" w:cs="Arial" w:eastAsia="Arial" w:hAnsi="Arial"/>
          <w:color w:val="1A1A2E"/>
          <w:sz w:val="19"/>
          <w:szCs w:val="19"/>
        </w:rPr>
        <w:t xml:space="preserve">The platform operates two completely separate access contexts. Understanding this separation is critical before building any permission logic.</w:t>
      </w:r>
    </w:p>
    <w:p>
      <w:pPr>
        <w:spacing w:after="0" w:before="120"/>
      </w:pPr>
      <w:r>
        <w:t xml:space="preserve"/>
      </w:r>
    </w:p>
    <w:p>
      <w:pPr>
        <w:spacing w:after="80" w:before="200"/>
      </w:pPr>
      <w:r>
        <w:rPr>
          <w:rFonts w:ascii="Arial" w:cs="Arial" w:eastAsia="Arial" w:hAnsi="Arial"/>
          <w:b/>
          <w:bCs/>
          <w:color w:val="1E88E5"/>
          <w:sz w:val="20"/>
          <w:szCs w:val="20"/>
        </w:rPr>
        <w:t xml:space="preserve">Layer 1 — Deeptrack Internal (Operator View)</w:t>
      </w:r>
    </w:p>
    <w:p>
      <w:pPr>
        <w:spacing w:after="80" w:before="80" w:line="340"/>
      </w:pPr>
      <w:r>
        <w:rPr>
          <w:rFonts w:ascii="Arial" w:cs="Arial" w:eastAsia="Arial" w:hAnsi="Arial"/>
          <w:color w:val="1A1A2E"/>
          <w:sz w:val="19"/>
          <w:szCs w:val="19"/>
        </w:rPr>
        <w:t xml:space="preserve">Used exclusively by the Deeptrack team. Accessible only via a separate internal URL (e.g. admin.deeptrack.io). Clients never see this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Internal Role</w:t>
            </w:r>
          </w:p>
        </w:tc>
        <w:tc>
          <w:tcPr>
            <w:tcW w:type="dxa" w:w="45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Permissions</w:t>
            </w:r>
          </w:p>
        </w:tc>
        <w:tc>
          <w:tcPr>
            <w:tcW w:type="dxa" w:w="28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Who</w:t>
            </w:r>
          </w:p>
        </w:tc>
      </w:tr>
      <w:tr>
        <w:tc>
          <w:tcPr>
            <w:tcW w:type="dxa" w:w="2000"/>
            <w:tcBorders>
              <w:top w:val="single" w:color="DDDDDD" w:sz="1"/>
              <w:left w:val="single" w:color="DDDDDD" w:sz="1"/>
              <w:bottom w:val="single" w:color="DDDDDD" w:sz="1"/>
              <w:right w:val="single" w:color="DDDDDD" w:sz="1"/>
            </w:tcBorders>
            <w:shd w:fill="F3E5F5" w:val="clear"/>
            <w:tcMar>
              <w:top w:type="dxa" w:w="90"/>
              <w:left w:type="dxa" w:w="110"/>
              <w:bottom w:type="dxa" w:w="90"/>
              <w:right w:type="dxa" w:w="110"/>
            </w:tcMar>
            <w:vAlign w:val="center"/>
          </w:tcPr>
          <w:p>
            <w:r>
              <w:rPr>
                <w:rFonts w:ascii="Arial" w:cs="Arial" w:eastAsia="Arial" w:hAnsi="Arial"/>
                <w:b/>
                <w:bCs/>
                <w:color w:val="4A148C"/>
                <w:sz w:val="17"/>
                <w:szCs w:val="17"/>
              </w:rPr>
              <w:t xml:space="preserve">Super Admin</w:t>
            </w:r>
          </w:p>
        </w:tc>
        <w:tc>
          <w:tcPr>
            <w:tcW w:type="dxa" w:w="4560"/>
            <w:tcBorders>
              <w:top w:val="single" w:color="DDDDDD" w:sz="1"/>
              <w:left w:val="single" w:color="DDDDDD" w:sz="1"/>
              <w:bottom w:val="single" w:color="DDDDDD" w:sz="1"/>
              <w:right w:val="single" w:color="DDDDDD" w:sz="1"/>
            </w:tcBorders>
            <w:shd w:fill="F3E5F5" w:val="clear"/>
            <w:tcMar>
              <w:top w:type="dxa" w:w="90"/>
              <w:left w:type="dxa" w:w="110"/>
              <w:bottom w:type="dxa" w:w="90"/>
              <w:right w:type="dxa" w:w="110"/>
            </w:tcMar>
          </w:tcPr>
          <w:p>
            <w:r>
              <w:rPr>
                <w:rFonts w:ascii="Arial" w:cs="Arial" w:eastAsia="Arial" w:hAnsi="Arial"/>
                <w:color w:val="1A1A2E"/>
                <w:sz w:val="17"/>
                <w:szCs w:val="17"/>
              </w:rPr>
              <w:t xml:space="preserve">Full platform access across all client organisations. Manage billing, system config, feature flags, global audit logs. Deeptrack engineering and ops only.</w:t>
            </w:r>
          </w:p>
        </w:tc>
        <w:tc>
          <w:tcPr>
            <w:tcW w:type="dxa" w:w="2800"/>
            <w:tcBorders>
              <w:top w:val="single" w:color="DDDDDD" w:sz="1"/>
              <w:left w:val="single" w:color="DDDDDD" w:sz="1"/>
              <w:bottom w:val="single" w:color="DDDDDD" w:sz="1"/>
              <w:right w:val="single" w:color="DDDDDD" w:sz="1"/>
            </w:tcBorders>
            <w:shd w:fill="F3E5F5" w:val="clear"/>
            <w:tcMar>
              <w:top w:type="dxa" w:w="90"/>
              <w:left w:type="dxa" w:w="110"/>
              <w:bottom w:type="dxa" w:w="90"/>
              <w:right w:type="dxa" w:w="110"/>
            </w:tcMar>
          </w:tcPr>
          <w:p>
            <w:r>
              <w:rPr>
                <w:rFonts w:ascii="Arial" w:cs="Arial" w:eastAsia="Arial" w:hAnsi="Arial"/>
                <w:color w:val="4A4A6A"/>
                <w:sz w:val="17"/>
                <w:szCs w:val="17"/>
              </w:rPr>
              <w:t xml:space="preserve">Deeptrack team leads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vAlign w:val="center"/>
          </w:tcPr>
          <w:p>
            <w:r>
              <w:rPr>
                <w:rFonts w:ascii="Arial" w:cs="Arial" w:eastAsia="Arial" w:hAnsi="Arial"/>
                <w:b/>
                <w:bCs/>
                <w:color w:val="4A148C"/>
                <w:sz w:val="17"/>
                <w:szCs w:val="17"/>
              </w:rPr>
              <w:t xml:space="preserve">Support Engineer</w:t>
            </w:r>
          </w:p>
        </w:tc>
        <w:tc>
          <w:tcPr>
            <w:tcW w:type="dxa" w:w="456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1A1A2E"/>
                <w:sz w:val="17"/>
                <w:szCs w:val="17"/>
              </w:rPr>
              <w:t xml:space="preserve">Read-only access across all client orgs for debugging and support escalations. Cannot modify client data.</w:t>
            </w:r>
          </w:p>
        </w:tc>
        <w:tc>
          <w:tcPr>
            <w:tcW w:type="dxa" w:w="28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4A4A6A"/>
                <w:sz w:val="17"/>
                <w:szCs w:val="17"/>
              </w:rPr>
              <w:t xml:space="preserve">Sage, Ian</w:t>
            </w:r>
          </w:p>
        </w:tc>
      </w:tr>
      <w:tr>
        <w:tc>
          <w:tcPr>
            <w:tcW w:type="dxa" w:w="2000"/>
            <w:tcBorders>
              <w:top w:val="single" w:color="DDDDDD" w:sz="1"/>
              <w:left w:val="single" w:color="DDDDDD" w:sz="1"/>
              <w:bottom w:val="single" w:color="DDDDDD" w:sz="1"/>
              <w:right w:val="single" w:color="DDDDDD" w:sz="1"/>
            </w:tcBorders>
            <w:shd w:fill="F3E5F5" w:val="clear"/>
            <w:tcMar>
              <w:top w:type="dxa" w:w="90"/>
              <w:left w:type="dxa" w:w="110"/>
              <w:bottom w:type="dxa" w:w="90"/>
              <w:right w:type="dxa" w:w="110"/>
            </w:tcMar>
            <w:vAlign w:val="center"/>
          </w:tcPr>
          <w:p>
            <w:r>
              <w:rPr>
                <w:rFonts w:ascii="Arial" w:cs="Arial" w:eastAsia="Arial" w:hAnsi="Arial"/>
                <w:b/>
                <w:bCs/>
                <w:color w:val="4A148C"/>
                <w:sz w:val="17"/>
                <w:szCs w:val="17"/>
              </w:rPr>
              <w:t xml:space="preserve">Compliance Admin</w:t>
            </w:r>
          </w:p>
        </w:tc>
        <w:tc>
          <w:tcPr>
            <w:tcW w:type="dxa" w:w="4560"/>
            <w:tcBorders>
              <w:top w:val="single" w:color="DDDDDD" w:sz="1"/>
              <w:left w:val="single" w:color="DDDDDD" w:sz="1"/>
              <w:bottom w:val="single" w:color="DDDDDD" w:sz="1"/>
              <w:right w:val="single" w:color="DDDDDD" w:sz="1"/>
            </w:tcBorders>
            <w:shd w:fill="F3E5F5" w:val="clear"/>
            <w:tcMar>
              <w:top w:type="dxa" w:w="90"/>
              <w:left w:type="dxa" w:w="110"/>
              <w:bottom w:type="dxa" w:w="90"/>
              <w:right w:type="dxa" w:w="110"/>
            </w:tcMar>
          </w:tcPr>
          <w:p>
            <w:r>
              <w:rPr>
                <w:rFonts w:ascii="Arial" w:cs="Arial" w:eastAsia="Arial" w:hAnsi="Arial"/>
                <w:color w:val="1A1A2E"/>
                <w:sz w:val="17"/>
                <w:szCs w:val="17"/>
              </w:rPr>
              <w:t xml:space="preserve">Access to flagged cases across all client orgs for cross-client fraud pattern review. No access to client system config.</w:t>
            </w:r>
          </w:p>
        </w:tc>
        <w:tc>
          <w:tcPr>
            <w:tcW w:type="dxa" w:w="2800"/>
            <w:tcBorders>
              <w:top w:val="single" w:color="DDDDDD" w:sz="1"/>
              <w:left w:val="single" w:color="DDDDDD" w:sz="1"/>
              <w:bottom w:val="single" w:color="DDDDDD" w:sz="1"/>
              <w:right w:val="single" w:color="DDDDDD" w:sz="1"/>
            </w:tcBorders>
            <w:shd w:fill="F3E5F5" w:val="clear"/>
            <w:tcMar>
              <w:top w:type="dxa" w:w="90"/>
              <w:left w:type="dxa" w:w="110"/>
              <w:bottom w:type="dxa" w:w="90"/>
              <w:right w:type="dxa" w:w="110"/>
            </w:tcMar>
          </w:tcPr>
          <w:p>
            <w:r>
              <w:rPr>
                <w:rFonts w:ascii="Arial" w:cs="Arial" w:eastAsia="Arial" w:hAnsi="Arial"/>
                <w:color w:val="4A4A6A"/>
                <w:sz w:val="17"/>
                <w:szCs w:val="17"/>
              </w:rPr>
              <w:t xml:space="preserve">Deeptrack compliance</w:t>
            </w:r>
          </w:p>
        </w:tc>
      </w:tr>
    </w:tbl>
    <w:p>
      <w:pPr>
        <w:spacing w:after="0" w:before="160"/>
      </w:pPr>
      <w:r>
        <w:t xml:space="preserve"/>
      </w:r>
    </w:p>
    <w:p>
      <w:pPr>
        <w:spacing w:after="80" w:before="200"/>
      </w:pPr>
      <w:r>
        <w:rPr>
          <w:rFonts w:ascii="Arial" w:cs="Arial" w:eastAsia="Arial" w:hAnsi="Arial"/>
          <w:b/>
          <w:bCs/>
          <w:color w:val="1E88E5"/>
          <w:sz w:val="20"/>
          <w:szCs w:val="20"/>
        </w:rPr>
        <w:t xml:space="preserve">Layer 2 — Client Portal (What Clients See)</w:t>
      </w:r>
    </w:p>
    <w:p>
      <w:pPr>
        <w:spacing w:after="80" w:before="80" w:line="340"/>
      </w:pPr>
      <w:r>
        <w:rPr>
          <w:rFonts w:ascii="Arial" w:cs="Arial" w:eastAsia="Arial" w:hAnsi="Arial"/>
          <w:color w:val="1A1A2E"/>
          <w:sz w:val="19"/>
          <w:szCs w:val="19"/>
        </w:rPr>
        <w:t xml:space="preserve">This is the product. Every paying client gets their own isolated workspace on app.deeptrack.io (or white-labelled domain). The four roles below are assigned by the Client Admin to their own team members.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Client Role</w:t>
            </w:r>
          </w:p>
        </w:tc>
        <w:tc>
          <w:tcPr>
            <w:tcW w:type="dxa" w:w="45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Permissions</w:t>
            </w:r>
          </w:p>
        </w:tc>
        <w:tc>
          <w:tcPr>
            <w:tcW w:type="dxa" w:w="28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Typical User</w:t>
            </w:r>
          </w:p>
        </w:tc>
      </w:tr>
      <w:tr>
        <w:tc>
          <w:tcPr>
            <w:tcW w:type="dxa" w:w="2000"/>
            <w:tcBorders>
              <w:top w:val="single" w:color="DDDDDD" w:sz="1"/>
              <w:left w:val="single" w:color="DDDDDD" w:sz="1"/>
              <w:bottom w:val="single" w:color="DDDDDD" w:sz="1"/>
              <w:right w:val="single" w:color="DDDDDD" w:sz="1"/>
            </w:tcBorders>
            <w:shd w:fill="E8F5E9" w:val="clear"/>
            <w:tcMar>
              <w:top w:type="dxa" w:w="90"/>
              <w:left w:type="dxa" w:w="110"/>
              <w:bottom w:type="dxa" w:w="90"/>
              <w:right w:type="dxa" w:w="110"/>
            </w:tcMar>
            <w:vAlign w:val="center"/>
          </w:tcPr>
          <w:p>
            <w:r>
              <w:rPr>
                <w:rFonts w:ascii="Arial" w:cs="Arial" w:eastAsia="Arial" w:hAnsi="Arial"/>
                <w:b/>
                <w:bCs/>
                <w:color w:val="2E7D32"/>
                <w:sz w:val="17"/>
                <w:szCs w:val="17"/>
              </w:rPr>
              <w:t xml:space="preserve">Client Admin</w:t>
            </w:r>
          </w:p>
        </w:tc>
        <w:tc>
          <w:tcPr>
            <w:tcW w:type="dxa" w:w="4560"/>
            <w:tcBorders>
              <w:top w:val="single" w:color="DDDDDD" w:sz="1"/>
              <w:left w:val="single" w:color="DDDDDD" w:sz="1"/>
              <w:bottom w:val="single" w:color="DDDDDD" w:sz="1"/>
              <w:right w:val="single" w:color="DDDDDD" w:sz="1"/>
            </w:tcBorders>
            <w:shd w:fill="E8F5E9" w:val="clear"/>
            <w:tcMar>
              <w:top w:type="dxa" w:w="90"/>
              <w:left w:type="dxa" w:w="110"/>
              <w:bottom w:type="dxa" w:w="90"/>
              <w:right w:type="dxa" w:w="110"/>
            </w:tcMar>
          </w:tcPr>
          <w:p>
            <w:r>
              <w:rPr>
                <w:rFonts w:ascii="Arial" w:cs="Arial" w:eastAsia="Arial" w:hAnsi="Arial"/>
                <w:color w:val="1A1A2E"/>
                <w:sz w:val="17"/>
                <w:szCs w:val="17"/>
              </w:rPr>
              <w:t xml:space="preserve">Full access within their organisation. Manage users, billing, API keys, webhooks, view all verifications and reports. Cannot access other clients' data.</w:t>
            </w:r>
          </w:p>
        </w:tc>
        <w:tc>
          <w:tcPr>
            <w:tcW w:type="dxa" w:w="2800"/>
            <w:tcBorders>
              <w:top w:val="single" w:color="DDDDDD" w:sz="1"/>
              <w:left w:val="single" w:color="DDDDDD" w:sz="1"/>
              <w:bottom w:val="single" w:color="DDDDDD" w:sz="1"/>
              <w:right w:val="single" w:color="DDDDDD" w:sz="1"/>
            </w:tcBorders>
            <w:shd w:fill="E8F5E9" w:val="clear"/>
            <w:tcMar>
              <w:top w:type="dxa" w:w="90"/>
              <w:left w:type="dxa" w:w="110"/>
              <w:bottom w:type="dxa" w:w="90"/>
              <w:right w:type="dxa" w:w="110"/>
            </w:tcMar>
          </w:tcPr>
          <w:p>
            <w:r>
              <w:rPr>
                <w:rFonts w:ascii="Arial" w:cs="Arial" w:eastAsia="Arial" w:hAnsi="Arial"/>
                <w:color w:val="4A4A6A"/>
                <w:sz w:val="17"/>
                <w:szCs w:val="17"/>
              </w:rPr>
              <w:t xml:space="preserve">Enterprise client IT / ops lead</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vAlign w:val="center"/>
          </w:tcPr>
          <w:p>
            <w:r>
              <w:rPr>
                <w:rFonts w:ascii="Arial" w:cs="Arial" w:eastAsia="Arial" w:hAnsi="Arial"/>
                <w:b/>
                <w:bCs/>
                <w:color w:val="2E7D32"/>
                <w:sz w:val="17"/>
                <w:szCs w:val="17"/>
              </w:rPr>
              <w:t xml:space="preserve">Compliance Analyst</w:t>
            </w:r>
          </w:p>
        </w:tc>
        <w:tc>
          <w:tcPr>
            <w:tcW w:type="dxa" w:w="456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1A1A2E"/>
                <w:sz w:val="17"/>
                <w:szCs w:val="17"/>
              </w:rPr>
              <w:t xml:space="preserve">Access to verification cases, manual review queue, audit trail, and reports within their org. Cannot manage users or API keys.</w:t>
            </w:r>
          </w:p>
        </w:tc>
        <w:tc>
          <w:tcPr>
            <w:tcW w:type="dxa" w:w="28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4A4A6A"/>
                <w:sz w:val="17"/>
                <w:szCs w:val="17"/>
              </w:rPr>
              <w:t xml:space="preserve">Client compliance / legal team</w:t>
            </w:r>
          </w:p>
        </w:tc>
      </w:tr>
      <w:tr>
        <w:tc>
          <w:tcPr>
            <w:tcW w:type="dxa" w:w="2000"/>
            <w:tcBorders>
              <w:top w:val="single" w:color="DDDDDD" w:sz="1"/>
              <w:left w:val="single" w:color="DDDDDD" w:sz="1"/>
              <w:bottom w:val="single" w:color="DDDDDD" w:sz="1"/>
              <w:right w:val="single" w:color="DDDDDD" w:sz="1"/>
            </w:tcBorders>
            <w:shd w:fill="E8F5E9" w:val="clear"/>
            <w:tcMar>
              <w:top w:type="dxa" w:w="90"/>
              <w:left w:type="dxa" w:w="110"/>
              <w:bottom w:type="dxa" w:w="90"/>
              <w:right w:type="dxa" w:w="110"/>
            </w:tcMar>
            <w:vAlign w:val="center"/>
          </w:tcPr>
          <w:p>
            <w:r>
              <w:rPr>
                <w:rFonts w:ascii="Arial" w:cs="Arial" w:eastAsia="Arial" w:hAnsi="Arial"/>
                <w:b/>
                <w:bCs/>
                <w:color w:val="2E7D32"/>
                <w:sz w:val="17"/>
                <w:szCs w:val="17"/>
              </w:rPr>
              <w:t xml:space="preserve">Developer</w:t>
            </w:r>
          </w:p>
        </w:tc>
        <w:tc>
          <w:tcPr>
            <w:tcW w:type="dxa" w:w="4560"/>
            <w:tcBorders>
              <w:top w:val="single" w:color="DDDDDD" w:sz="1"/>
              <w:left w:val="single" w:color="DDDDDD" w:sz="1"/>
              <w:bottom w:val="single" w:color="DDDDDD" w:sz="1"/>
              <w:right w:val="single" w:color="DDDDDD" w:sz="1"/>
            </w:tcBorders>
            <w:shd w:fill="E8F5E9" w:val="clear"/>
            <w:tcMar>
              <w:top w:type="dxa" w:w="90"/>
              <w:left w:type="dxa" w:w="110"/>
              <w:bottom w:type="dxa" w:w="90"/>
              <w:right w:type="dxa" w:w="110"/>
            </w:tcMar>
          </w:tcPr>
          <w:p>
            <w:r>
              <w:rPr>
                <w:rFonts w:ascii="Arial" w:cs="Arial" w:eastAsia="Arial" w:hAnsi="Arial"/>
                <w:color w:val="1A1A2E"/>
                <w:sz w:val="17"/>
                <w:szCs w:val="17"/>
              </w:rPr>
              <w:t xml:space="preserve">Access to API keys, webhook configuration, sandbox environment, and integration documentation within their org. No access to PII or case decisions.</w:t>
            </w:r>
          </w:p>
        </w:tc>
        <w:tc>
          <w:tcPr>
            <w:tcW w:type="dxa" w:w="2800"/>
            <w:tcBorders>
              <w:top w:val="single" w:color="DDDDDD" w:sz="1"/>
              <w:left w:val="single" w:color="DDDDDD" w:sz="1"/>
              <w:bottom w:val="single" w:color="DDDDDD" w:sz="1"/>
              <w:right w:val="single" w:color="DDDDDD" w:sz="1"/>
            </w:tcBorders>
            <w:shd w:fill="E8F5E9" w:val="clear"/>
            <w:tcMar>
              <w:top w:type="dxa" w:w="90"/>
              <w:left w:type="dxa" w:w="110"/>
              <w:bottom w:type="dxa" w:w="90"/>
              <w:right w:type="dxa" w:w="110"/>
            </w:tcMar>
          </w:tcPr>
          <w:p>
            <w:r>
              <w:rPr>
                <w:rFonts w:ascii="Arial" w:cs="Arial" w:eastAsia="Arial" w:hAnsi="Arial"/>
                <w:color w:val="4A4A6A"/>
                <w:sz w:val="17"/>
                <w:szCs w:val="17"/>
              </w:rPr>
              <w:t xml:space="preserve">Client engineering team</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vAlign w:val="center"/>
          </w:tcPr>
          <w:p>
            <w:r>
              <w:rPr>
                <w:rFonts w:ascii="Arial" w:cs="Arial" w:eastAsia="Arial" w:hAnsi="Arial"/>
                <w:b/>
                <w:bCs/>
                <w:color w:val="2E7D32"/>
                <w:sz w:val="17"/>
                <w:szCs w:val="17"/>
              </w:rPr>
              <w:t xml:space="preserve">Viewer</w:t>
            </w:r>
          </w:p>
        </w:tc>
        <w:tc>
          <w:tcPr>
            <w:tcW w:type="dxa" w:w="456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1A1A2E"/>
                <w:sz w:val="17"/>
                <w:szCs w:val="17"/>
              </w:rPr>
              <w:t xml:space="preserve">Read-only access to dashboards and reports within their org. Cannot take any action on cases.</w:t>
            </w:r>
          </w:p>
        </w:tc>
        <w:tc>
          <w:tcPr>
            <w:tcW w:type="dxa" w:w="28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4A4A6A"/>
                <w:sz w:val="17"/>
                <w:szCs w:val="17"/>
              </w:rPr>
              <w:t xml:space="preserve">Client management / reporting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0"/>
              <w:bottom w:val="none" w:color="FFFFFF" w:sz="0"/>
              <w:right w:val="none" w:color="FFFFFF" w:sz="0"/>
            </w:tcBorders>
            <w:shd w:fill="E8F5E9" w:val="clear"/>
            <w:tcMar>
              <w:top w:type="dxa" w:w="120"/>
              <w:left w:type="dxa" w:w="240"/>
              <w:bottom w:type="dxa" w:w="120"/>
              <w:right w:type="dxa" w:w="240"/>
            </w:tcMar>
          </w:tcPr>
          <w:p>
            <w:r>
              <w:rPr>
                <w:rFonts w:ascii="Arial" w:cs="Arial" w:eastAsia="Arial" w:hAnsi="Arial"/>
                <w:color w:val="2E7D32"/>
                <w:sz w:val="18"/>
                <w:szCs w:val="18"/>
              </w:rPr>
              <w:t xml:space="preserve">Data isolation rule: Every database query is scoped to org_id. A client's Compliance Analyst can never see, search, or export another client's verification records — not even accidentally.</w:t>
            </w:r>
          </w:p>
        </w:tc>
      </w:tr>
    </w:tbl>
    <w:p>
      <w:pPr>
        <w:spacing w:after="0" w:before="200"/>
      </w:pPr>
      <w:r>
        <w:t xml:space="preserve"/>
      </w:r>
    </w:p>
    <w:p>
      <w:pPr>
        <w:spacing w:after="120" w:before="280"/>
      </w:pPr>
      <w:r>
        <w:rPr>
          <w:rFonts w:ascii="Arial" w:cs="Arial" w:eastAsia="Arial" w:hAnsi="Arial"/>
          <w:b/>
          <w:bCs/>
          <w:color w:val="0A2463"/>
          <w:sz w:val="22"/>
          <w:szCs w:val="22"/>
        </w:rPr>
        <w:t xml:space="preserve">1.2  Client Portal Modules</w:t>
      </w:r>
    </w:p>
    <w:p>
      <w:pPr>
        <w:spacing w:after="80" w:before="80" w:line="340"/>
      </w:pPr>
      <w:r>
        <w:rPr>
          <w:rFonts w:ascii="Arial" w:cs="Arial" w:eastAsia="Arial" w:hAnsi="Arial"/>
          <w:color w:val="1A1A2E"/>
          <w:sz w:val="19"/>
          <w:szCs w:val="19"/>
        </w:rPr>
        <w:t xml:space="preserve">The client portal is structured into 10 modules. All modules are scoped to the client's organisation. The Client Admin controls which team members have access to each module via role assignment.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Module</w:t>
            </w:r>
          </w:p>
        </w:tc>
        <w:tc>
          <w:tcPr>
            <w:tcW w:type="dxa" w:w="65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2800"/>
            <w:tcBorders>
              <w:top w:val="single" w:color="DDDDDD" w:sz="1"/>
              <w:left w:val="single" w:color="DDDDDD" w:sz="1"/>
              <w:bottom w:val="single" w:color="DDDDDD" w:sz="1"/>
              <w:right w:val="single" w:color="DDDDDD" w:sz="1"/>
            </w:tcBorders>
            <w:shd w:fill="E8F0FE" w:val="clear"/>
            <w:tcMar>
              <w:top w:type="dxa" w:w="90"/>
              <w:left w:type="dxa" w:w="110"/>
              <w:bottom w:type="dxa" w:w="90"/>
              <w:right w:type="dxa" w:w="110"/>
            </w:tcMar>
            <w:vAlign w:val="center"/>
          </w:tcPr>
          <w:p>
            <w:r>
              <w:rPr>
                <w:rFonts w:ascii="Arial" w:cs="Arial" w:eastAsia="Arial" w:hAnsi="Arial"/>
                <w:b/>
                <w:bCs/>
                <w:color w:val="0A2463"/>
                <w:sz w:val="17"/>
                <w:szCs w:val="17"/>
              </w:rPr>
              <w:t xml:space="preserve">Verification Dashboard</w:t>
            </w:r>
          </w:p>
        </w:tc>
        <w:tc>
          <w:tcPr>
            <w:tcW w:type="dxa" w:w="6560"/>
            <w:tcBorders>
              <w:top w:val="single" w:color="DDDDDD" w:sz="1"/>
              <w:left w:val="single" w:color="DDDDDD" w:sz="1"/>
              <w:bottom w:val="single" w:color="DDDDDD" w:sz="1"/>
              <w:right w:val="single" w:color="DDDDDD" w:sz="1"/>
            </w:tcBorders>
            <w:shd w:fill="E8F0FE" w:val="clear"/>
            <w:tcMar>
              <w:top w:type="dxa" w:w="90"/>
              <w:left w:type="dxa" w:w="110"/>
              <w:bottom w:type="dxa" w:w="90"/>
              <w:right w:type="dxa" w:w="110"/>
            </w:tcMar>
          </w:tcPr>
          <w:p>
            <w:r>
              <w:rPr>
                <w:rFonts w:ascii="Arial" w:cs="Arial" w:eastAsia="Arial" w:hAnsi="Arial"/>
                <w:color w:val="1A1A2E"/>
                <w:sz w:val="17"/>
                <w:szCs w:val="17"/>
              </w:rPr>
              <w:t xml:space="preserve">Client-facing overview of their own verification activity — started, completed, approved, rejected, review rate. Time-filtered with trend indicators and funnel chart.</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vAlign w:val="center"/>
          </w:tcPr>
          <w:p>
            <w:r>
              <w:rPr>
                <w:rFonts w:ascii="Arial" w:cs="Arial" w:eastAsia="Arial" w:hAnsi="Arial"/>
                <w:b/>
                <w:bCs/>
                <w:color w:val="0A2463"/>
                <w:sz w:val="17"/>
                <w:szCs w:val="17"/>
              </w:rPr>
              <w:t xml:space="preserve">Verification Manager</w:t>
            </w:r>
          </w:p>
        </w:tc>
        <w:tc>
          <w:tcPr>
            <w:tcW w:type="dxa" w:w="656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1A1A2E"/>
                <w:sz w:val="17"/>
                <w:szCs w:val="17"/>
              </w:rPr>
              <w:t xml:space="preserve">Searchable, filterable table of all verification cases within the client's organisation. Full case detail view with document viewer and Sentinel scan report.</w:t>
            </w:r>
          </w:p>
        </w:tc>
      </w:tr>
      <w:tr>
        <w:tc>
          <w:tcPr>
            <w:tcW w:type="dxa" w:w="2800"/>
            <w:tcBorders>
              <w:top w:val="single" w:color="DDDDDD" w:sz="1"/>
              <w:left w:val="single" w:color="DDDDDD" w:sz="1"/>
              <w:bottom w:val="single" w:color="DDDDDD" w:sz="1"/>
              <w:right w:val="single" w:color="DDDDDD" w:sz="1"/>
            </w:tcBorders>
            <w:shd w:fill="E8F0FE" w:val="clear"/>
            <w:tcMar>
              <w:top w:type="dxa" w:w="90"/>
              <w:left w:type="dxa" w:w="110"/>
              <w:bottom w:type="dxa" w:w="90"/>
              <w:right w:type="dxa" w:w="110"/>
            </w:tcMar>
            <w:vAlign w:val="center"/>
          </w:tcPr>
          <w:p>
            <w:r>
              <w:rPr>
                <w:rFonts w:ascii="Arial" w:cs="Arial" w:eastAsia="Arial" w:hAnsi="Arial"/>
                <w:b/>
                <w:bCs/>
                <w:color w:val="0A2463"/>
                <w:sz w:val="17"/>
                <w:szCs w:val="17"/>
              </w:rPr>
              <w:t xml:space="preserve">Manual Review Queue</w:t>
            </w:r>
          </w:p>
        </w:tc>
        <w:tc>
          <w:tcPr>
            <w:tcW w:type="dxa" w:w="6560"/>
            <w:tcBorders>
              <w:top w:val="single" w:color="DDDDDD" w:sz="1"/>
              <w:left w:val="single" w:color="DDDDDD" w:sz="1"/>
              <w:bottom w:val="single" w:color="DDDDDD" w:sz="1"/>
              <w:right w:val="single" w:color="DDDDDD" w:sz="1"/>
            </w:tcBorders>
            <w:shd w:fill="E8F0FE" w:val="clear"/>
            <w:tcMar>
              <w:top w:type="dxa" w:w="90"/>
              <w:left w:type="dxa" w:w="110"/>
              <w:bottom w:type="dxa" w:w="90"/>
              <w:right w:type="dxa" w:w="110"/>
            </w:tcMar>
          </w:tcPr>
          <w:p>
            <w:r>
              <w:rPr>
                <w:rFonts w:ascii="Arial" w:cs="Arial" w:eastAsia="Arial" w:hAnsi="Arial"/>
                <w:color w:val="1A1A2E"/>
                <w:sz w:val="17"/>
                <w:szCs w:val="17"/>
              </w:rPr>
              <w:t xml:space="preserve">Cases flagged by Sentinel for human review within the client's org. Compliance Analysts approve, reject, escalate, or request resubmission. Full audit trail on every decision.</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vAlign w:val="center"/>
          </w:tcPr>
          <w:p>
            <w:r>
              <w:rPr>
                <w:rFonts w:ascii="Arial" w:cs="Arial" w:eastAsia="Arial" w:hAnsi="Arial"/>
                <w:b/>
                <w:bCs/>
                <w:color w:val="0A2463"/>
                <w:sz w:val="17"/>
                <w:szCs w:val="17"/>
              </w:rPr>
              <w:t xml:space="preserve">User Management</w:t>
            </w:r>
          </w:p>
        </w:tc>
        <w:tc>
          <w:tcPr>
            <w:tcW w:type="dxa" w:w="656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1A1A2E"/>
                <w:sz w:val="17"/>
                <w:szCs w:val="17"/>
              </w:rPr>
              <w:t xml:space="preserve">Client Admin manages their own team — invite users, assign roles (Analyst / Developer / Viewer), deactivate accounts, view login history.</w:t>
            </w:r>
          </w:p>
        </w:tc>
      </w:tr>
      <w:tr>
        <w:tc>
          <w:tcPr>
            <w:tcW w:type="dxa" w:w="2800"/>
            <w:tcBorders>
              <w:top w:val="single" w:color="DDDDDD" w:sz="1"/>
              <w:left w:val="single" w:color="DDDDDD" w:sz="1"/>
              <w:bottom w:val="single" w:color="DDDDDD" w:sz="1"/>
              <w:right w:val="single" w:color="DDDDDD" w:sz="1"/>
            </w:tcBorders>
            <w:shd w:fill="E8F0FE" w:val="clear"/>
            <w:tcMar>
              <w:top w:type="dxa" w:w="90"/>
              <w:left w:type="dxa" w:w="110"/>
              <w:bottom w:type="dxa" w:w="90"/>
              <w:right w:type="dxa" w:w="110"/>
            </w:tcMar>
            <w:vAlign w:val="center"/>
          </w:tcPr>
          <w:p>
            <w:r>
              <w:rPr>
                <w:rFonts w:ascii="Arial" w:cs="Arial" w:eastAsia="Arial" w:hAnsi="Arial"/>
                <w:b/>
                <w:bCs/>
                <w:color w:val="0A2463"/>
                <w:sz w:val="17"/>
                <w:szCs w:val="17"/>
              </w:rPr>
              <w:t xml:space="preserve">API Key Management</w:t>
            </w:r>
          </w:p>
        </w:tc>
        <w:tc>
          <w:tcPr>
            <w:tcW w:type="dxa" w:w="6560"/>
            <w:tcBorders>
              <w:top w:val="single" w:color="DDDDDD" w:sz="1"/>
              <w:left w:val="single" w:color="DDDDDD" w:sz="1"/>
              <w:bottom w:val="single" w:color="DDDDDD" w:sz="1"/>
              <w:right w:val="single" w:color="DDDDDD" w:sz="1"/>
            </w:tcBorders>
            <w:shd w:fill="E8F0FE" w:val="clear"/>
            <w:tcMar>
              <w:top w:type="dxa" w:w="90"/>
              <w:left w:type="dxa" w:w="110"/>
              <w:bottom w:type="dxa" w:w="90"/>
              <w:right w:type="dxa" w:w="110"/>
            </w:tcMar>
          </w:tcPr>
          <w:p>
            <w:r>
              <w:rPr>
                <w:rFonts w:ascii="Arial" w:cs="Arial" w:eastAsia="Arial" w:hAnsi="Arial"/>
                <w:color w:val="1A1A2E"/>
                <w:sz w:val="17"/>
                <w:szCs w:val="17"/>
              </w:rPr>
              <w:t xml:space="preserve">Create, revoke, and monitor API keys scoped to the client's org. View per-key usage stats, rate limit status, and last-used timestamps.</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vAlign w:val="center"/>
          </w:tcPr>
          <w:p>
            <w:r>
              <w:rPr>
                <w:rFonts w:ascii="Arial" w:cs="Arial" w:eastAsia="Arial" w:hAnsi="Arial"/>
                <w:b/>
                <w:bCs/>
                <w:color w:val="0A2463"/>
                <w:sz w:val="17"/>
                <w:szCs w:val="17"/>
              </w:rPr>
              <w:t xml:space="preserve">Webhook Management</w:t>
            </w:r>
          </w:p>
        </w:tc>
        <w:tc>
          <w:tcPr>
            <w:tcW w:type="dxa" w:w="656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1A1A2E"/>
                <w:sz w:val="17"/>
                <w:szCs w:val="17"/>
              </w:rPr>
              <w:t xml:space="preserve">Configure webhook endpoints for verification events, test delivery, view delivery logs, and manage retry policies.</w:t>
            </w:r>
          </w:p>
        </w:tc>
      </w:tr>
      <w:tr>
        <w:tc>
          <w:tcPr>
            <w:tcW w:type="dxa" w:w="2800"/>
            <w:tcBorders>
              <w:top w:val="single" w:color="DDDDDD" w:sz="1"/>
              <w:left w:val="single" w:color="DDDDDD" w:sz="1"/>
              <w:bottom w:val="single" w:color="DDDDDD" w:sz="1"/>
              <w:right w:val="single" w:color="DDDDDD" w:sz="1"/>
            </w:tcBorders>
            <w:shd w:fill="E8F0FE" w:val="clear"/>
            <w:tcMar>
              <w:top w:type="dxa" w:w="90"/>
              <w:left w:type="dxa" w:w="110"/>
              <w:bottom w:type="dxa" w:w="90"/>
              <w:right w:type="dxa" w:w="110"/>
            </w:tcMar>
            <w:vAlign w:val="center"/>
          </w:tcPr>
          <w:p>
            <w:r>
              <w:rPr>
                <w:rFonts w:ascii="Arial" w:cs="Arial" w:eastAsia="Arial" w:hAnsi="Arial"/>
                <w:b/>
                <w:bCs/>
                <w:color w:val="0A2463"/>
                <w:sz w:val="17"/>
                <w:szCs w:val="17"/>
              </w:rPr>
              <w:t xml:space="preserve">Reports &amp; Exports</w:t>
            </w:r>
          </w:p>
        </w:tc>
        <w:tc>
          <w:tcPr>
            <w:tcW w:type="dxa" w:w="6560"/>
            <w:tcBorders>
              <w:top w:val="single" w:color="DDDDDD" w:sz="1"/>
              <w:left w:val="single" w:color="DDDDDD" w:sz="1"/>
              <w:bottom w:val="single" w:color="DDDDDD" w:sz="1"/>
              <w:right w:val="single" w:color="DDDDDD" w:sz="1"/>
            </w:tcBorders>
            <w:shd w:fill="E8F0FE" w:val="clear"/>
            <w:tcMar>
              <w:top w:type="dxa" w:w="90"/>
              <w:left w:type="dxa" w:w="110"/>
              <w:bottom w:type="dxa" w:w="90"/>
              <w:right w:type="dxa" w:w="110"/>
            </w:tcMar>
          </w:tcPr>
          <w:p>
            <w:r>
              <w:rPr>
                <w:rFonts w:ascii="Arial" w:cs="Arial" w:eastAsia="Arial" w:hAnsi="Arial"/>
                <w:color w:val="1A1A2E"/>
                <w:sz w:val="17"/>
                <w:szCs w:val="17"/>
              </w:rPr>
              <w:t xml:space="preserve">Generate on-demand or scheduled compliance reports. Export verification records to CSV, PDF, or JSON for internal reporting and regulatory submissions.</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vAlign w:val="center"/>
          </w:tcPr>
          <w:p>
            <w:r>
              <w:rPr>
                <w:rFonts w:ascii="Arial" w:cs="Arial" w:eastAsia="Arial" w:hAnsi="Arial"/>
                <w:b/>
                <w:bCs/>
                <w:color w:val="0A2463"/>
                <w:sz w:val="17"/>
                <w:szCs w:val="17"/>
              </w:rPr>
              <w:t xml:space="preserve">Audit Trail</w:t>
            </w:r>
          </w:p>
        </w:tc>
        <w:tc>
          <w:tcPr>
            <w:tcW w:type="dxa" w:w="656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1A1A2E"/>
                <w:sz w:val="17"/>
                <w:szCs w:val="17"/>
              </w:rPr>
              <w:t xml:space="preserve">Immutable log of every action taken within the client's org — case decisions, user changes, API key events, config changes.</w:t>
            </w:r>
          </w:p>
        </w:tc>
      </w:tr>
      <w:tr>
        <w:tc>
          <w:tcPr>
            <w:tcW w:type="dxa" w:w="2800"/>
            <w:tcBorders>
              <w:top w:val="single" w:color="DDDDDD" w:sz="1"/>
              <w:left w:val="single" w:color="DDDDDD" w:sz="1"/>
              <w:bottom w:val="single" w:color="DDDDDD" w:sz="1"/>
              <w:right w:val="single" w:color="DDDDDD" w:sz="1"/>
            </w:tcBorders>
            <w:shd w:fill="E8F0FE" w:val="clear"/>
            <w:tcMar>
              <w:top w:type="dxa" w:w="90"/>
              <w:left w:type="dxa" w:w="110"/>
              <w:bottom w:type="dxa" w:w="90"/>
              <w:right w:type="dxa" w:w="110"/>
            </w:tcMar>
            <w:vAlign w:val="center"/>
          </w:tcPr>
          <w:p>
            <w:r>
              <w:rPr>
                <w:rFonts w:ascii="Arial" w:cs="Arial" w:eastAsia="Arial" w:hAnsi="Arial"/>
                <w:b/>
                <w:bCs/>
                <w:color w:val="0A2463"/>
                <w:sz w:val="17"/>
                <w:szCs w:val="17"/>
              </w:rPr>
              <w:t xml:space="preserve">Billing &amp; Usage</w:t>
            </w:r>
          </w:p>
        </w:tc>
        <w:tc>
          <w:tcPr>
            <w:tcW w:type="dxa" w:w="6560"/>
            <w:tcBorders>
              <w:top w:val="single" w:color="DDDDDD" w:sz="1"/>
              <w:left w:val="single" w:color="DDDDDD" w:sz="1"/>
              <w:bottom w:val="single" w:color="DDDDDD" w:sz="1"/>
              <w:right w:val="single" w:color="DDDDDD" w:sz="1"/>
            </w:tcBorders>
            <w:shd w:fill="E8F0FE" w:val="clear"/>
            <w:tcMar>
              <w:top w:type="dxa" w:w="90"/>
              <w:left w:type="dxa" w:w="110"/>
              <w:bottom w:type="dxa" w:w="90"/>
              <w:right w:type="dxa" w:w="110"/>
            </w:tcMar>
          </w:tcPr>
          <w:p>
            <w:r>
              <w:rPr>
                <w:rFonts w:ascii="Arial" w:cs="Arial" w:eastAsia="Arial" w:hAnsi="Arial"/>
                <w:color w:val="1A1A2E"/>
                <w:sz w:val="17"/>
                <w:szCs w:val="17"/>
              </w:rPr>
              <w:t xml:space="preserve">View current plan, scan credit usage, API volume, and billing history. Upgrade or manage subscription directly.</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vAlign w:val="center"/>
          </w:tcPr>
          <w:p>
            <w:r>
              <w:rPr>
                <w:rFonts w:ascii="Arial" w:cs="Arial" w:eastAsia="Arial" w:hAnsi="Arial"/>
                <w:b/>
                <w:bCs/>
                <w:color w:val="0A2463"/>
                <w:sz w:val="17"/>
                <w:szCs w:val="17"/>
              </w:rPr>
              <w:t xml:space="preserve">Documentation &amp; Sandbox</w:t>
            </w:r>
          </w:p>
        </w:tc>
        <w:tc>
          <w:tcPr>
            <w:tcW w:type="dxa" w:w="656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r>
              <w:rPr>
                <w:rFonts w:ascii="Arial" w:cs="Arial" w:eastAsia="Arial" w:hAnsi="Arial"/>
                <w:color w:val="1A1A2E"/>
                <w:sz w:val="17"/>
                <w:szCs w:val="17"/>
              </w:rPr>
              <w:t xml:space="preserve">Integrated API documentation, SDK downloads, and a fully isolated sandbox environment for testing integrations without affecting live data.</w:t>
            </w:r>
          </w:p>
        </w:tc>
      </w:tr>
    </w:tbl>
    <w:p>
      <w:pPr>
        <w:spacing w:after="0" w:before="200"/>
      </w:pPr>
      <w:r>
        <w:t xml:space="preserve"/>
      </w:r>
    </w:p>
    <w:p>
      <w:pPr>
        <w:spacing w:after="120" w:before="280"/>
      </w:pPr>
      <w:r>
        <w:rPr>
          <w:rFonts w:ascii="Arial" w:cs="Arial" w:eastAsia="Arial" w:hAnsi="Arial"/>
          <w:b/>
          <w:bCs/>
          <w:color w:val="0A2463"/>
          <w:sz w:val="22"/>
          <w:szCs w:val="22"/>
        </w:rPr>
        <w:t xml:space="preserve">1.3  Verification Dashboard — Required Upgrades</w:t>
      </w:r>
    </w:p>
    <w:p>
      <w:pPr>
        <w:spacing w:after="80" w:before="80" w:line="340"/>
      </w:pPr>
      <w:r>
        <w:rPr>
          <w:rFonts w:ascii="Arial" w:cs="Arial" w:eastAsia="Arial" w:hAnsi="Arial"/>
          <w:color w:val="1A1A2E"/>
          <w:sz w:val="19"/>
          <w:szCs w:val="19"/>
        </w:rPr>
        <w:t xml:space="preserve">The current dashboard (the landing page clients see today) shows 6 static metric cards with no time context, no trend data, and no drill-down. The upgrades below are what clients need to actually manage their verification operations.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0"/>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color w:val="E65100"/>
                <w:sz w:val="18"/>
                <w:szCs w:val="18"/>
              </w:rPr>
              <w:t xml:space="preserve">Current state: 248 started, 106 completed — clients cannot tell if this is today's data or all-time. No time filter means the dashboard is decorative, not operational.</w:t>
            </w:r>
          </w:p>
        </w:tc>
      </w:tr>
    </w:tbl>
    <w:p>
      <w:pPr>
        <w:spacing w:after="0" w:before="120"/>
      </w:pPr>
      <w:r>
        <w:t xml:space="preserve"/>
      </w:r>
    </w:p>
    <w:p>
      <w:pPr>
        <w:spacing w:after="80" w:before="200"/>
      </w:pPr>
      <w:r>
        <w:rPr>
          <w:rFonts w:ascii="Arial" w:cs="Arial" w:eastAsia="Arial" w:hAnsi="Arial"/>
          <w:b/>
          <w:bCs/>
          <w:color w:val="1E88E5"/>
          <w:sz w:val="20"/>
          <w:szCs w:val="20"/>
        </w:rPr>
        <w:t xml:space="preserve">Metric Card Upgrades</w:t>
      </w:r>
    </w:p>
    <w:p>
      <w:pPr>
        <w:pStyle w:val="ListParagraph"/>
        <w:numPr>
          <w:ilvl w:val="0"/>
          <w:numId w:val="2"/>
        </w:numPr>
        <w:spacing w:after="55" w:before="55"/>
      </w:pPr>
      <w:r>
        <w:rPr>
          <w:rFonts w:ascii="Arial" w:cs="Arial" w:eastAsia="Arial" w:hAnsi="Arial"/>
          <w:b w:val="false"/>
          <w:bCs w:val="false"/>
          <w:color w:val="1A1A2E"/>
          <w:sz w:val="18"/>
          <w:szCs w:val="18"/>
        </w:rPr>
        <w:t xml:space="preserve">Global time range selector — Today / Last 7 Days / Last 30 Days / Custom. Applied to all cards simultaneously.</w:t>
      </w:r>
    </w:p>
    <w:p>
      <w:pPr>
        <w:pStyle w:val="ListParagraph"/>
        <w:numPr>
          <w:ilvl w:val="0"/>
          <w:numId w:val="2"/>
        </w:numPr>
        <w:spacing w:after="55" w:before="55"/>
      </w:pPr>
      <w:r>
        <w:rPr>
          <w:rFonts w:ascii="Arial" w:cs="Arial" w:eastAsia="Arial" w:hAnsi="Arial"/>
          <w:b w:val="false"/>
          <w:bCs w:val="false"/>
          <w:color w:val="1A1A2E"/>
          <w:sz w:val="18"/>
          <w:szCs w:val="18"/>
        </w:rPr>
        <w:t xml:space="preserve">Trend indicator on each card — % change vs previous period with directional arrow.</w:t>
      </w:r>
    </w:p>
    <w:p>
      <w:pPr>
        <w:pStyle w:val="ListParagraph"/>
        <w:numPr>
          <w:ilvl w:val="0"/>
          <w:numId w:val="2"/>
        </w:numPr>
        <w:spacing w:after="55" w:before="55"/>
      </w:pPr>
      <w:r>
        <w:rPr>
          <w:rFonts w:ascii="Arial" w:cs="Arial" w:eastAsia="Arial" w:hAnsi="Arial"/>
          <w:b w:val="false"/>
          <w:bCs w:val="false"/>
          <w:color w:val="1A1A2E"/>
          <w:sz w:val="18"/>
          <w:szCs w:val="18"/>
        </w:rPr>
        <w:t xml:space="preserve">Sparkline (7-day daily trend) on each card.</w:t>
      </w:r>
    </w:p>
    <w:p>
      <w:pPr>
        <w:pStyle w:val="ListParagraph"/>
        <w:numPr>
          <w:ilvl w:val="0"/>
          <w:numId w:val="2"/>
        </w:numPr>
        <w:spacing w:after="55" w:before="55"/>
      </w:pPr>
      <w:r>
        <w:rPr>
          <w:rFonts w:ascii="Arial" w:cs="Arial" w:eastAsia="Arial" w:hAnsi="Arial"/>
          <w:b w:val="false"/>
          <w:bCs w:val="false"/>
          <w:color w:val="1A1A2E"/>
          <w:sz w:val="18"/>
          <w:szCs w:val="18"/>
        </w:rPr>
        <w:t xml:space="preserve">Absolute numbers alongside percentages — e.g. Conversion Rate: 72% (179 of 248).</w:t>
      </w:r>
    </w:p>
    <w:p>
      <w:pPr>
        <w:spacing w:after="0" w:before="80"/>
      </w:pPr>
      <w:r>
        <w:t xml:space="preserve"/>
      </w:r>
    </w:p>
    <w:p>
      <w:pPr>
        <w:spacing w:after="80" w:before="200"/>
      </w:pPr>
      <w:r>
        <w:rPr>
          <w:rFonts w:ascii="Arial" w:cs="Arial" w:eastAsia="Arial" w:hAnsi="Arial"/>
          <w:b/>
          <w:bCs/>
          <w:color w:val="1E88E5"/>
          <w:sz w:val="20"/>
          <w:szCs w:val="20"/>
        </w:rPr>
        <w:t xml:space="preserve">New Dashboard Components</w:t>
      </w:r>
    </w:p>
    <w:p>
      <w:pPr>
        <w:pStyle w:val="ListParagraph"/>
        <w:numPr>
          <w:ilvl w:val="0"/>
          <w:numId w:val="2"/>
        </w:numPr>
        <w:spacing w:after="55" w:before="55"/>
      </w:pPr>
      <w:r>
        <w:rPr>
          <w:rFonts w:ascii="Arial" w:cs="Arial" w:eastAsia="Arial" w:hAnsi="Arial"/>
          <w:b/>
          <w:bCs/>
          <w:color w:val="1A1A2E"/>
          <w:sz w:val="18"/>
          <w:szCs w:val="18"/>
        </w:rPr>
        <w:t xml:space="preserve">Verification Funnel Chart</w:t>
      </w:r>
    </w:p>
    <w:p>
      <w:pPr>
        <w:pStyle w:val="ListParagraph"/>
        <w:numPr>
          <w:ilvl w:val="1"/>
          <w:numId w:val="3"/>
        </w:numPr>
        <w:spacing w:after="40" w:before="40"/>
      </w:pPr>
      <w:r>
        <w:rPr>
          <w:rFonts w:ascii="Arial" w:cs="Arial" w:eastAsia="Arial" w:hAnsi="Arial"/>
          <w:color w:val="4A4A6A"/>
          <w:sz w:val="17"/>
          <w:szCs w:val="17"/>
        </w:rPr>
        <w:t xml:space="preserve">Shows Started → Completed → Approved → Rejected with drop-off % at each stage</w:t>
      </w:r>
    </w:p>
    <w:p>
      <w:pPr>
        <w:pStyle w:val="ListParagraph"/>
        <w:numPr>
          <w:ilvl w:val="1"/>
          <w:numId w:val="3"/>
        </w:numPr>
        <w:spacing w:after="40" w:before="40"/>
      </w:pPr>
      <w:r>
        <w:rPr>
          <w:rFonts w:ascii="Arial" w:cs="Arial" w:eastAsia="Arial" w:hAnsi="Arial"/>
          <w:color w:val="4A4A6A"/>
          <w:sz w:val="17"/>
          <w:szCs w:val="17"/>
        </w:rPr>
        <w:t xml:space="preserve">Filterable by KYC / KYB / KYI type and by time range</w:t>
      </w:r>
    </w:p>
    <w:p>
      <w:pPr>
        <w:pStyle w:val="ListParagraph"/>
        <w:numPr>
          <w:ilvl w:val="1"/>
          <w:numId w:val="3"/>
        </w:numPr>
        <w:spacing w:after="40" w:before="40"/>
      </w:pPr>
      <w:r>
        <w:rPr>
          <w:rFonts w:ascii="Arial" w:cs="Arial" w:eastAsia="Arial" w:hAnsi="Arial"/>
          <w:color w:val="4A4A6A"/>
          <w:sz w:val="17"/>
          <w:szCs w:val="17"/>
        </w:rPr>
        <w:t xml:space="preserve">Directly answers the 57% drop-off question clients will ask their compliance team</w:t>
      </w:r>
    </w:p>
    <w:p>
      <w:pPr>
        <w:pStyle w:val="ListParagraph"/>
        <w:numPr>
          <w:ilvl w:val="0"/>
          <w:numId w:val="2"/>
        </w:numPr>
        <w:spacing w:after="55" w:before="55"/>
      </w:pPr>
      <w:r>
        <w:rPr>
          <w:rFonts w:ascii="Arial" w:cs="Arial" w:eastAsia="Arial" w:hAnsi="Arial"/>
          <w:b/>
          <w:bCs/>
          <w:color w:val="1A1A2E"/>
          <w:sz w:val="18"/>
          <w:szCs w:val="18"/>
        </w:rPr>
        <w:t xml:space="preserve">Manual Review Queue Widget</w:t>
      </w:r>
    </w:p>
    <w:p>
      <w:pPr>
        <w:pStyle w:val="ListParagraph"/>
        <w:numPr>
          <w:ilvl w:val="1"/>
          <w:numId w:val="3"/>
        </w:numPr>
        <w:spacing w:after="40" w:before="40"/>
      </w:pPr>
      <w:r>
        <w:rPr>
          <w:rFonts w:ascii="Arial" w:cs="Arial" w:eastAsia="Arial" w:hAnsi="Arial"/>
          <w:color w:val="4A4A6A"/>
          <w:sz w:val="17"/>
          <w:szCs w:val="17"/>
        </w:rPr>
        <w:t xml:space="preserve">Count of cases awaiting review — clients need to staff their compliance team accordingly</w:t>
      </w:r>
    </w:p>
    <w:p>
      <w:pPr>
        <w:pStyle w:val="ListParagraph"/>
        <w:numPr>
          <w:ilvl w:val="1"/>
          <w:numId w:val="3"/>
        </w:numPr>
        <w:spacing w:after="40" w:before="40"/>
      </w:pPr>
      <w:r>
        <w:rPr>
          <w:rFonts w:ascii="Arial" w:cs="Arial" w:eastAsia="Arial" w:hAnsi="Arial"/>
          <w:color w:val="4A4A6A"/>
          <w:sz w:val="17"/>
          <w:szCs w:val="17"/>
        </w:rPr>
        <w:t xml:space="preserve">One-click link to the full review queue</w:t>
      </w:r>
    </w:p>
    <w:p>
      <w:pPr>
        <w:pStyle w:val="ListParagraph"/>
        <w:numPr>
          <w:ilvl w:val="1"/>
          <w:numId w:val="3"/>
        </w:numPr>
        <w:spacing w:after="40" w:before="40"/>
      </w:pPr>
      <w:r>
        <w:rPr>
          <w:rFonts w:ascii="Arial" w:cs="Arial" w:eastAsia="Arial" w:hAnsi="Arial"/>
          <w:color w:val="4A4A6A"/>
          <w:sz w:val="17"/>
          <w:szCs w:val="17"/>
        </w:rPr>
        <w:t xml:space="preserve">SLA indicator — how many cases are approaching the review deadline</w:t>
      </w:r>
    </w:p>
    <w:p>
      <w:pPr>
        <w:pStyle w:val="ListParagraph"/>
        <w:numPr>
          <w:ilvl w:val="0"/>
          <w:numId w:val="2"/>
        </w:numPr>
        <w:spacing w:after="55" w:before="55"/>
      </w:pPr>
      <w:r>
        <w:rPr>
          <w:rFonts w:ascii="Arial" w:cs="Arial" w:eastAsia="Arial" w:hAnsi="Arial"/>
          <w:b/>
          <w:bCs/>
          <w:color w:val="1A1A2E"/>
          <w:sz w:val="18"/>
          <w:szCs w:val="18"/>
        </w:rPr>
        <w:t xml:space="preserve">Real-Time Activity Feed</w:t>
      </w:r>
    </w:p>
    <w:p>
      <w:pPr>
        <w:pStyle w:val="ListParagraph"/>
        <w:numPr>
          <w:ilvl w:val="1"/>
          <w:numId w:val="3"/>
        </w:numPr>
        <w:spacing w:after="40" w:before="40"/>
      </w:pPr>
      <w:r>
        <w:rPr>
          <w:rFonts w:ascii="Arial" w:cs="Arial" w:eastAsia="Arial" w:hAnsi="Arial"/>
          <w:color w:val="4A4A6A"/>
          <w:sz w:val="17"/>
          <w:szCs w:val="17"/>
        </w:rPr>
        <w:t xml:space="preserve">Last 20 verification events within the client's org — new submission, scan complete, approved, rejected</w:t>
      </w:r>
    </w:p>
    <w:p>
      <w:pPr>
        <w:pStyle w:val="ListParagraph"/>
        <w:numPr>
          <w:ilvl w:val="1"/>
          <w:numId w:val="3"/>
        </w:numPr>
        <w:spacing w:after="40" w:before="40"/>
      </w:pPr>
      <w:r>
        <w:rPr>
          <w:rFonts w:ascii="Arial" w:cs="Arial" w:eastAsia="Arial" w:hAnsi="Arial"/>
          <w:color w:val="4A4A6A"/>
          <w:sz w:val="17"/>
          <w:szCs w:val="17"/>
        </w:rPr>
        <w:t xml:space="preserve">Clickable — each event opens the full case in Verification Manager</w:t>
      </w:r>
    </w:p>
    <w:p>
      <w:pPr>
        <w:pStyle w:val="ListParagraph"/>
        <w:numPr>
          <w:ilvl w:val="0"/>
          <w:numId w:val="2"/>
        </w:numPr>
        <w:spacing w:after="55" w:before="55"/>
      </w:pPr>
      <w:r>
        <w:rPr>
          <w:rFonts w:ascii="Arial" w:cs="Arial" w:eastAsia="Arial" w:hAnsi="Arial"/>
          <w:b/>
          <w:bCs/>
          <w:color w:val="1A1A2E"/>
          <w:sz w:val="18"/>
          <w:szCs w:val="18"/>
        </w:rPr>
        <w:t xml:space="preserve">Average Completion Time</w:t>
      </w:r>
    </w:p>
    <w:p>
      <w:pPr>
        <w:pStyle w:val="ListParagraph"/>
        <w:numPr>
          <w:ilvl w:val="1"/>
          <w:numId w:val="3"/>
        </w:numPr>
        <w:spacing w:after="40" w:before="40"/>
      </w:pPr>
      <w:r>
        <w:rPr>
          <w:rFonts w:ascii="Arial" w:cs="Arial" w:eastAsia="Arial" w:hAnsi="Arial"/>
          <w:color w:val="4A4A6A"/>
          <w:sz w:val="17"/>
          <w:szCs w:val="17"/>
        </w:rPr>
        <w:t xml:space="preserve">Mean time from verification started to final decision, broken down by type</w:t>
      </w:r>
    </w:p>
    <w:p>
      <w:pPr>
        <w:pStyle w:val="ListParagraph"/>
        <w:numPr>
          <w:ilvl w:val="1"/>
          <w:numId w:val="3"/>
        </w:numPr>
        <w:spacing w:after="40" w:before="40"/>
      </w:pPr>
      <w:r>
        <w:rPr>
          <w:rFonts w:ascii="Arial" w:cs="Arial" w:eastAsia="Arial" w:hAnsi="Arial"/>
          <w:color w:val="4A4A6A"/>
          <w:sz w:val="17"/>
          <w:szCs w:val="17"/>
        </w:rPr>
        <w:t xml:space="preserve">Helps clients benchmark their onboarding UX and set applicant expectations</w:t>
      </w:r>
    </w:p>
    <w:p>
      <w:pPr>
        <w:pStyle w:val="ListParagraph"/>
        <w:numPr>
          <w:ilvl w:val="0"/>
          <w:numId w:val="2"/>
        </w:numPr>
        <w:spacing w:after="55" w:before="55"/>
      </w:pPr>
      <w:r>
        <w:rPr>
          <w:rFonts w:ascii="Arial" w:cs="Arial" w:eastAsia="Arial" w:hAnsi="Arial"/>
          <w:b/>
          <w:bCs/>
          <w:color w:val="1A1A2E"/>
          <w:sz w:val="18"/>
          <w:szCs w:val="18"/>
        </w:rPr>
        <w:t xml:space="preserve">Peak Volume Heatmap</w:t>
      </w:r>
    </w:p>
    <w:p>
      <w:pPr>
        <w:pStyle w:val="ListParagraph"/>
        <w:numPr>
          <w:ilvl w:val="1"/>
          <w:numId w:val="3"/>
        </w:numPr>
        <w:spacing w:after="40" w:before="40"/>
      </w:pPr>
      <w:r>
        <w:rPr>
          <w:rFonts w:ascii="Arial" w:cs="Arial" w:eastAsia="Arial" w:hAnsi="Arial"/>
          <w:color w:val="4A4A6A"/>
          <w:sz w:val="17"/>
          <w:szCs w:val="17"/>
        </w:rPr>
        <w:t xml:space="preserve">7-day grid showing verification volume by hour — helps clients staff their review team</w:t>
      </w:r>
    </w:p>
    <w:p>
      <w:pPr>
        <w:pStyle w:val="ListParagraph"/>
        <w:numPr>
          <w:ilvl w:val="0"/>
          <w:numId w:val="2"/>
        </w:numPr>
        <w:spacing w:after="55" w:before="55"/>
      </w:pPr>
      <w:r>
        <w:rPr>
          <w:rFonts w:ascii="Arial" w:cs="Arial" w:eastAsia="Arial" w:hAnsi="Arial"/>
          <w:b/>
          <w:bCs/>
          <w:color w:val="1A1A2E"/>
          <w:sz w:val="18"/>
          <w:szCs w:val="18"/>
        </w:rPr>
        <w:t xml:space="preserve">API &amp; Webhook Health Widget</w:t>
      </w:r>
    </w:p>
    <w:p>
      <w:pPr>
        <w:pStyle w:val="ListParagraph"/>
        <w:numPr>
          <w:ilvl w:val="1"/>
          <w:numId w:val="3"/>
        </w:numPr>
        <w:spacing w:after="40" w:before="40"/>
      </w:pPr>
      <w:r>
        <w:rPr>
          <w:rFonts w:ascii="Arial" w:cs="Arial" w:eastAsia="Arial" w:hAnsi="Arial"/>
          <w:color w:val="4A4A6A"/>
          <w:sz w:val="17"/>
          <w:szCs w:val="17"/>
        </w:rPr>
        <w:t xml:space="preserve">For clients using the API — recent error rate, latency, and webhook delivery status</w:t>
      </w:r>
    </w:p>
    <w:p>
      <w:pPr>
        <w:pStyle w:val="ListParagraph"/>
        <w:numPr>
          <w:ilvl w:val="1"/>
          <w:numId w:val="3"/>
        </w:numPr>
        <w:spacing w:after="40" w:before="40"/>
      </w:pPr>
      <w:r>
        <w:rPr>
          <w:rFonts w:ascii="Arial" w:cs="Arial" w:eastAsia="Arial" w:hAnsi="Arial"/>
          <w:color w:val="4A4A6A"/>
          <w:sz w:val="17"/>
          <w:szCs w:val="17"/>
        </w:rPr>
        <w:t xml:space="preserve">Visible only to Client Admin and Developer roles</w:t>
      </w:r>
    </w:p>
    <w:p>
      <w:pPr>
        <w:spacing w:after="0" w:before="200"/>
      </w:pPr>
      <w:r>
        <w:t xml:space="preserve"/>
      </w:r>
    </w:p>
    <w:p>
      <w:pPr>
        <w:spacing w:after="120" w:before="280"/>
      </w:pPr>
      <w:r>
        <w:rPr>
          <w:rFonts w:ascii="Arial" w:cs="Arial" w:eastAsia="Arial" w:hAnsi="Arial"/>
          <w:b/>
          <w:bCs/>
          <w:color w:val="0A2463"/>
          <w:sz w:val="22"/>
          <w:szCs w:val="22"/>
        </w:rPr>
        <w:t xml:space="preserve">1.4  Verification Manager</w:t>
      </w:r>
    </w:p>
    <w:p>
      <w:pPr>
        <w:spacing w:after="80" w:before="80" w:line="340"/>
      </w:pPr>
      <w:r>
        <w:rPr>
          <w:rFonts w:ascii="Arial" w:cs="Arial" w:eastAsia="Arial" w:hAnsi="Arial"/>
          <w:color w:val="1A1A2E"/>
          <w:sz w:val="19"/>
          <w:szCs w:val="19"/>
        </w:rPr>
        <w:t xml:space="preserve">The Verification Manager is the core operational interface for the client's compliance team. A searchable, filterable table of every verification case within their organisation. Replaces manual database queries and spreadsheet tracking.</w:t>
      </w:r>
    </w:p>
    <w:p>
      <w:pPr>
        <w:spacing w:after="0" w:before="80"/>
      </w:pPr>
      <w:r>
        <w:t xml:space="preserve"/>
      </w:r>
    </w:p>
    <w:p>
      <w:pPr>
        <w:spacing w:after="80" w:before="200"/>
      </w:pPr>
      <w:r>
        <w:rPr>
          <w:rFonts w:ascii="Arial" w:cs="Arial" w:eastAsia="Arial" w:hAnsi="Arial"/>
          <w:b/>
          <w:bCs/>
          <w:color w:val="1E88E5"/>
          <w:sz w:val="20"/>
          <w:szCs w:val="20"/>
        </w:rPr>
        <w:t xml:space="preserve">Filter &amp; Search</w:t>
      </w:r>
    </w:p>
    <w:p>
      <w:pPr>
        <w:pStyle w:val="ListParagraph"/>
        <w:numPr>
          <w:ilvl w:val="0"/>
          <w:numId w:val="2"/>
        </w:numPr>
        <w:spacing w:after="55" w:before="55"/>
      </w:pPr>
      <w:r>
        <w:rPr>
          <w:rFonts w:ascii="Arial" w:cs="Arial" w:eastAsia="Arial" w:hAnsi="Arial"/>
          <w:b w:val="false"/>
          <w:bCs w:val="false"/>
          <w:color w:val="1A1A2E"/>
          <w:sz w:val="18"/>
          <w:szCs w:val="18"/>
        </w:rPr>
        <w:t xml:space="preserve">Full-text search on subject name, case ID, and the client's own subject reference ID</w:t>
      </w:r>
    </w:p>
    <w:p>
      <w:pPr>
        <w:pStyle w:val="ListParagraph"/>
        <w:numPr>
          <w:ilvl w:val="0"/>
          <w:numId w:val="2"/>
        </w:numPr>
        <w:spacing w:after="55" w:before="55"/>
      </w:pPr>
      <w:r>
        <w:rPr>
          <w:rFonts w:ascii="Arial" w:cs="Arial" w:eastAsia="Arial" w:hAnsi="Arial"/>
          <w:b w:val="false"/>
          <w:bCs w:val="false"/>
          <w:color w:val="1A1A2E"/>
          <w:sz w:val="18"/>
          <w:szCs w:val="18"/>
        </w:rPr>
        <w:t xml:space="preserve">Filter by: Type (KYC / KYB / KYI), Status, Sentinel Outcome, Date Range, Assigned Analyst</w:t>
      </w:r>
    </w:p>
    <w:p>
      <w:pPr>
        <w:pStyle w:val="ListParagraph"/>
        <w:numPr>
          <w:ilvl w:val="0"/>
          <w:numId w:val="2"/>
        </w:numPr>
        <w:spacing w:after="55" w:before="55"/>
      </w:pPr>
      <w:r>
        <w:rPr>
          <w:rFonts w:ascii="Arial" w:cs="Arial" w:eastAsia="Arial" w:hAnsi="Arial"/>
          <w:b w:val="false"/>
          <w:bCs w:val="false"/>
          <w:color w:val="1A1A2E"/>
          <w:sz w:val="18"/>
          <w:szCs w:val="18"/>
        </w:rPr>
        <w:t xml:space="preserve">Sort by: Created date, Completion time, Sentinel score, Status</w:t>
      </w:r>
    </w:p>
    <w:p>
      <w:pPr>
        <w:pStyle w:val="ListParagraph"/>
        <w:numPr>
          <w:ilvl w:val="0"/>
          <w:numId w:val="2"/>
        </w:numPr>
        <w:spacing w:after="55" w:before="55"/>
      </w:pPr>
      <w:r>
        <w:rPr>
          <w:rFonts w:ascii="Arial" w:cs="Arial" w:eastAsia="Arial" w:hAnsi="Arial"/>
          <w:b w:val="false"/>
          <w:bCs w:val="false"/>
          <w:color w:val="1A1A2E"/>
          <w:sz w:val="18"/>
          <w:szCs w:val="18"/>
        </w:rPr>
        <w:t xml:space="preserve">Saved filter presets — e.g. 'All pending manual review this week'</w:t>
      </w:r>
    </w:p>
    <w:p>
      <w:pPr>
        <w:pStyle w:val="ListParagraph"/>
        <w:numPr>
          <w:ilvl w:val="0"/>
          <w:numId w:val="2"/>
        </w:numPr>
        <w:spacing w:after="55" w:before="55"/>
      </w:pPr>
      <w:r>
        <w:rPr>
          <w:rFonts w:ascii="Arial" w:cs="Arial" w:eastAsia="Arial" w:hAnsi="Arial"/>
          <w:b w:val="false"/>
          <w:bCs w:val="false"/>
          <w:color w:val="1A1A2E"/>
          <w:sz w:val="18"/>
          <w:szCs w:val="18"/>
        </w:rPr>
        <w:t xml:space="preserve">Bulk actions — export selected cases, bulk assign to analyst</w:t>
      </w:r>
    </w:p>
    <w:p>
      <w:pPr>
        <w:spacing w:after="0" w:before="80"/>
      </w:pPr>
      <w:r>
        <w:t xml:space="preserve"/>
      </w:r>
    </w:p>
    <w:p>
      <w:pPr>
        <w:spacing w:after="80" w:before="200"/>
      </w:pPr>
      <w:r>
        <w:rPr>
          <w:rFonts w:ascii="Arial" w:cs="Arial" w:eastAsia="Arial" w:hAnsi="Arial"/>
          <w:b/>
          <w:bCs/>
          <w:color w:val="1E88E5"/>
          <w:sz w:val="20"/>
          <w:szCs w:val="20"/>
        </w:rPr>
        <w:t xml:space="preserve">Case Record Schema</w:t>
      </w:r>
    </w:p>
    <w:p>
      <w:pPr>
        <w:spacing w:after="80" w:before="80" w:line="340"/>
      </w:pPr>
      <w:r>
        <w:rPr>
          <w:rFonts w:ascii="Arial" w:cs="Arial" w:eastAsia="Arial" w:hAnsi="Arial"/>
          <w:color w:val="1A1A2E"/>
          <w:sz w:val="19"/>
          <w:szCs w:val="19"/>
        </w:rPr>
        <w:t xml:space="preserve">Each verification case within the client's organisation contains the following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Field</w:t>
            </w:r>
          </w:p>
        </w:tc>
        <w:tc>
          <w:tcPr>
            <w:tcW w:type="dxa" w:w="14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Type</w:t>
            </w:r>
          </w:p>
        </w:tc>
        <w:tc>
          <w:tcPr>
            <w:tcW w:type="dxa" w:w="55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2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case_id</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5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UUID v4 — unique case identifier</w:t>
            </w:r>
          </w:p>
        </w:tc>
      </w:tr>
      <w:tr>
        <w:tc>
          <w:tcPr>
            <w:tcW w:type="dxa" w:w="2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type</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enum</w:t>
            </w:r>
          </w:p>
        </w:tc>
        <w:tc>
          <w:tcPr>
            <w:tcW w:type="dxa" w:w="55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KYC | KYB | KYI</w:t>
            </w:r>
          </w:p>
        </w:tc>
      </w:tr>
      <w:tr>
        <w:tc>
          <w:tcPr>
            <w:tcW w:type="dxa" w:w="2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status</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enum</w:t>
            </w:r>
          </w:p>
        </w:tc>
        <w:tc>
          <w:tcPr>
            <w:tcW w:type="dxa" w:w="55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started | pending_review | approved | rejected | escalated | expired</w:t>
            </w:r>
          </w:p>
        </w:tc>
      </w:tr>
      <w:tr>
        <w:tc>
          <w:tcPr>
            <w:tcW w:type="dxa" w:w="2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subject_name</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Full name of individual or business being verified</w:t>
            </w:r>
          </w:p>
        </w:tc>
      </w:tr>
      <w:tr>
        <w:tc>
          <w:tcPr>
            <w:tcW w:type="dxa" w:w="2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subject_ref</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5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Client's own reference ID for this subject (optional — set by client at submission)</w:t>
            </w:r>
          </w:p>
        </w:tc>
      </w:tr>
      <w:tr>
        <w:tc>
          <w:tcPr>
            <w:tcW w:type="dxa" w:w="2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org_id</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Client organisation that owns this case — enforces data isolation</w:t>
            </w:r>
          </w:p>
        </w:tc>
      </w:tr>
      <w:tr>
        <w:tc>
          <w:tcPr>
            <w:tcW w:type="dxa" w:w="2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assigned_to</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5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Compliance analyst assigned to manual review (nullable)</w:t>
            </w:r>
          </w:p>
        </w:tc>
      </w:tr>
      <w:tr>
        <w:tc>
          <w:tcPr>
            <w:tcW w:type="dxa" w:w="2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sentinel_score</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float</w:t>
            </w:r>
          </w:p>
        </w:tc>
        <w:tc>
          <w:tcPr>
            <w:tcW w:type="dxa" w:w="55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Deepfake detection confidence score (0.00 – 1.00)</w:t>
            </w:r>
          </w:p>
        </w:tc>
      </w:tr>
      <w:tr>
        <w:tc>
          <w:tcPr>
            <w:tcW w:type="dxa" w:w="2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sentinel_outcome</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enum</w:t>
            </w:r>
          </w:p>
        </w:tc>
        <w:tc>
          <w:tcPr>
            <w:tcW w:type="dxa" w:w="55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pass | review | reject</w:t>
            </w:r>
          </w:p>
        </w:tc>
      </w:tr>
      <w:tr>
        <w:tc>
          <w:tcPr>
            <w:tcW w:type="dxa" w:w="2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documents</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array</w:t>
            </w:r>
          </w:p>
        </w:tc>
        <w:tc>
          <w:tcPr>
            <w:tcW w:type="dxa" w:w="55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List of submitted document objects with scan results</w:t>
            </w:r>
          </w:p>
        </w:tc>
      </w:tr>
      <w:tr>
        <w:tc>
          <w:tcPr>
            <w:tcW w:type="dxa" w:w="2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created_at</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timestamp</w:t>
            </w:r>
          </w:p>
        </w:tc>
        <w:tc>
          <w:tcPr>
            <w:tcW w:type="dxa" w:w="55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ISO 8601 — when verification was started</w:t>
            </w:r>
          </w:p>
        </w:tc>
      </w:tr>
      <w:tr>
        <w:tc>
          <w:tcPr>
            <w:tcW w:type="dxa" w:w="2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completed_at</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timestamp</w:t>
            </w:r>
          </w:p>
        </w:tc>
        <w:tc>
          <w:tcPr>
            <w:tcW w:type="dxa" w:w="55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ISO 8601 — when final decision was made (nullable)</w:t>
            </w:r>
          </w:p>
        </w:tc>
      </w:tr>
      <w:tr>
        <w:tc>
          <w:tcPr>
            <w:tcW w:type="dxa" w:w="2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reviewed_by</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5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Analyst user ID who made the final decision (nullable)</w:t>
            </w:r>
          </w:p>
        </w:tc>
      </w:tr>
      <w:tr>
        <w:tc>
          <w:tcPr>
            <w:tcW w:type="dxa" w:w="2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review_notes</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Notes added during manual review (nullable)</w:t>
            </w:r>
          </w:p>
        </w:tc>
      </w:tr>
      <w:tr>
        <w:tc>
          <w:tcPr>
            <w:tcW w:type="dxa" w:w="2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flags</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array</w:t>
            </w:r>
          </w:p>
        </w:tc>
        <w:tc>
          <w:tcPr>
            <w:tcW w:type="dxa" w:w="55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Sentinel flag objects raised during scan</w:t>
            </w:r>
          </w:p>
        </w:tc>
      </w:tr>
      <w:tr>
        <w:tc>
          <w:tcPr>
            <w:tcW w:type="dxa" w:w="2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metadata</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Device info, IP, geolocation, user agent at time of submission</w:t>
            </w:r>
          </w:p>
        </w:tc>
      </w:tr>
    </w:tbl>
    <w:p>
      <w:pPr>
        <w:spacing w:after="0" w:before="200"/>
      </w:pPr>
      <w:r>
        <w:t xml:space="preserve"/>
      </w:r>
    </w:p>
    <w:p>
      <w:pPr>
        <w:spacing w:after="120" w:before="280"/>
      </w:pPr>
      <w:r>
        <w:rPr>
          <w:rFonts w:ascii="Arial" w:cs="Arial" w:eastAsia="Arial" w:hAnsi="Arial"/>
          <w:b/>
          <w:bCs/>
          <w:color w:val="0A2463"/>
          <w:sz w:val="22"/>
          <w:szCs w:val="22"/>
        </w:rPr>
        <w:t xml:space="preserve">1.5  Manual Review Queue</w:t>
      </w:r>
    </w:p>
    <w:p>
      <w:pPr>
        <w:spacing w:after="80" w:before="80" w:line="340"/>
      </w:pPr>
      <w:r>
        <w:rPr>
          <w:rFonts w:ascii="Arial" w:cs="Arial" w:eastAsia="Arial" w:hAnsi="Arial"/>
          <w:color w:val="1A1A2E"/>
          <w:sz w:val="19"/>
          <w:szCs w:val="19"/>
        </w:rPr>
        <w:t xml:space="preserve">Cases with a Sentinel outcome of REVIEW (75–94% confidence) are automatically routed to the client's Manual Review Queue. The client's own Compliance Analysts work through this queue and make the final approve/reject decision within their organisation.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0"/>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color w:val="E65100"/>
                <w:sz w:val="18"/>
                <w:szCs w:val="18"/>
              </w:rPr>
              <w:t xml:space="preserve">The current platform shows a 37.7% Manual Review Rate on 106 completed verifications — approximately 40 cases. Clients have no structured interface to manage this today. This is the most urgent module to build.</w:t>
            </w:r>
          </w:p>
        </w:tc>
      </w:tr>
    </w:tbl>
    <w:p>
      <w:pPr>
        <w:spacing w:after="0" w:before="120"/>
      </w:pPr>
      <w:r>
        <w:t xml:space="preserve"/>
      </w:r>
    </w:p>
    <w:p>
      <w:pPr>
        <w:spacing w:after="80" w:before="200"/>
      </w:pPr>
      <w:r>
        <w:rPr>
          <w:rFonts w:ascii="Arial" w:cs="Arial" w:eastAsia="Arial" w:hAnsi="Arial"/>
          <w:b/>
          <w:bCs/>
          <w:color w:val="1E88E5"/>
          <w:sz w:val="20"/>
          <w:szCs w:val="20"/>
        </w:rPr>
        <w:t xml:space="preserve">Queue Interface</w:t>
      </w:r>
    </w:p>
    <w:p>
      <w:pPr>
        <w:pStyle w:val="ListParagraph"/>
        <w:numPr>
          <w:ilvl w:val="0"/>
          <w:numId w:val="2"/>
        </w:numPr>
        <w:spacing w:after="55" w:before="55"/>
      </w:pPr>
      <w:r>
        <w:rPr>
          <w:rFonts w:ascii="Arial" w:cs="Arial" w:eastAsia="Arial" w:hAnsi="Arial"/>
          <w:b w:val="false"/>
          <w:bCs w:val="false"/>
          <w:color w:val="1A1A2E"/>
          <w:sz w:val="18"/>
          <w:szCs w:val="18"/>
        </w:rPr>
        <w:t xml:space="preserve">Oldest-first default sort (FIFO). Analysts can re-sort by Sentinel score — lowest confidence first.</w:t>
      </w:r>
    </w:p>
    <w:p>
      <w:pPr>
        <w:pStyle w:val="ListParagraph"/>
        <w:numPr>
          <w:ilvl w:val="0"/>
          <w:numId w:val="2"/>
        </w:numPr>
        <w:spacing w:after="55" w:before="55"/>
      </w:pPr>
      <w:r>
        <w:rPr>
          <w:rFonts w:ascii="Arial" w:cs="Arial" w:eastAsia="Arial" w:hAnsi="Arial"/>
          <w:b w:val="false"/>
          <w:bCs w:val="false"/>
          <w:color w:val="1A1A2E"/>
          <w:sz w:val="18"/>
          <w:szCs w:val="18"/>
        </w:rPr>
        <w:t xml:space="preserve">Each queue item shows: Case ID, Type, Subject Name, Submitted time, Sentinel score, Flags raised.</w:t>
      </w:r>
    </w:p>
    <w:p>
      <w:pPr>
        <w:pStyle w:val="ListParagraph"/>
        <w:numPr>
          <w:ilvl w:val="0"/>
          <w:numId w:val="2"/>
        </w:numPr>
        <w:spacing w:after="55" w:before="55"/>
      </w:pPr>
      <w:r>
        <w:rPr>
          <w:rFonts w:ascii="Arial" w:cs="Arial" w:eastAsia="Arial" w:hAnsi="Arial"/>
          <w:b w:val="false"/>
          <w:bCs w:val="false"/>
          <w:color w:val="1A1A2E"/>
          <w:sz w:val="18"/>
          <w:szCs w:val="18"/>
        </w:rPr>
        <w:t xml:space="preserve">Case detail panel opens inline — document viewer, Sentinel scan report, flag breakdown, full submission history.</w:t>
      </w:r>
    </w:p>
    <w:p>
      <w:pPr>
        <w:pStyle w:val="ListParagraph"/>
        <w:numPr>
          <w:ilvl w:val="0"/>
          <w:numId w:val="2"/>
        </w:numPr>
        <w:spacing w:after="55" w:before="55"/>
      </w:pPr>
      <w:r>
        <w:rPr>
          <w:rFonts w:ascii="Arial" w:cs="Arial" w:eastAsia="Arial" w:hAnsi="Arial"/>
          <w:b w:val="false"/>
          <w:bCs w:val="false"/>
          <w:color w:val="1A1A2E"/>
          <w:sz w:val="18"/>
          <w:szCs w:val="18"/>
        </w:rPr>
        <w:t xml:space="preserve">Actions available to Compliance Analyst: Approve / Reject / Escalate / Request Resubmission.</w:t>
      </w:r>
    </w:p>
    <w:p>
      <w:pPr>
        <w:pStyle w:val="ListParagraph"/>
        <w:numPr>
          <w:ilvl w:val="0"/>
          <w:numId w:val="2"/>
        </w:numPr>
        <w:spacing w:after="55" w:before="55"/>
      </w:pPr>
      <w:r>
        <w:rPr>
          <w:rFonts w:ascii="Arial" w:cs="Arial" w:eastAsia="Arial" w:hAnsi="Arial"/>
          <w:b w:val="false"/>
          <w:bCs w:val="false"/>
          <w:color w:val="1A1A2E"/>
          <w:sz w:val="18"/>
          <w:szCs w:val="18"/>
        </w:rPr>
        <w:t xml:space="preserve">Reject and Escalate require a mandatory notes field — reason must be logged for audit trail.</w:t>
      </w:r>
    </w:p>
    <w:p>
      <w:pPr>
        <w:pStyle w:val="ListParagraph"/>
        <w:numPr>
          <w:ilvl w:val="0"/>
          <w:numId w:val="2"/>
        </w:numPr>
        <w:spacing w:after="55" w:before="55"/>
      </w:pPr>
      <w:r>
        <w:rPr>
          <w:rFonts w:ascii="Arial" w:cs="Arial" w:eastAsia="Arial" w:hAnsi="Arial"/>
          <w:b w:val="false"/>
          <w:bCs w:val="false"/>
          <w:color w:val="1A1A2E"/>
          <w:sz w:val="18"/>
          <w:szCs w:val="18"/>
        </w:rPr>
        <w:t xml:space="preserve">Client Admin can assign specific cases to specific analysts within their team.</w:t>
      </w:r>
    </w:p>
    <w:p>
      <w:pPr>
        <w:pStyle w:val="ListParagraph"/>
        <w:numPr>
          <w:ilvl w:val="0"/>
          <w:numId w:val="2"/>
        </w:numPr>
        <w:spacing w:after="55" w:before="55"/>
      </w:pPr>
      <w:r>
        <w:rPr>
          <w:rFonts w:ascii="Arial" w:cs="Arial" w:eastAsia="Arial" w:hAnsi="Arial"/>
          <w:b w:val="false"/>
          <w:bCs w:val="false"/>
          <w:color w:val="1A1A2E"/>
          <w:sz w:val="18"/>
          <w:szCs w:val="18"/>
        </w:rPr>
        <w:t xml:space="preserve">SLA timer — configurable target review time. Visual warning when approaching SLA breach.</w:t>
      </w:r>
    </w:p>
    <w:p>
      <w:pPr>
        <w:spacing w:after="0" w:before="80"/>
      </w:pPr>
      <w:r>
        <w:t xml:space="preserve"/>
      </w:r>
    </w:p>
    <w:p>
      <w:pPr>
        <w:spacing w:after="80" w:before="200"/>
      </w:pPr>
      <w:r>
        <w:rPr>
          <w:rFonts w:ascii="Arial" w:cs="Arial" w:eastAsia="Arial" w:hAnsi="Arial"/>
          <w:b/>
          <w:bCs/>
          <w:color w:val="1E88E5"/>
          <w:sz w:val="20"/>
          <w:szCs w:val="20"/>
        </w:rPr>
        <w:t xml:space="preserve">Escalation</w:t>
      </w:r>
    </w:p>
    <w:p>
      <w:pPr>
        <w:pStyle w:val="ListParagraph"/>
        <w:numPr>
          <w:ilvl w:val="0"/>
          <w:numId w:val="2"/>
        </w:numPr>
        <w:spacing w:after="55" w:before="55"/>
      </w:pPr>
      <w:r>
        <w:rPr>
          <w:rFonts w:ascii="Arial" w:cs="Arial" w:eastAsia="Arial" w:hAnsi="Arial"/>
          <w:b w:val="false"/>
          <w:bCs w:val="false"/>
          <w:color w:val="1A1A2E"/>
          <w:sz w:val="18"/>
          <w:szCs w:val="18"/>
        </w:rPr>
        <w:t xml:space="preserve">Escalated cases go to a separate Escalation Queue visible only to Client Admin.</w:t>
      </w:r>
    </w:p>
    <w:p>
      <w:pPr>
        <w:pStyle w:val="ListParagraph"/>
        <w:numPr>
          <w:ilvl w:val="0"/>
          <w:numId w:val="2"/>
        </w:numPr>
        <w:spacing w:after="55" w:before="55"/>
      </w:pPr>
      <w:r>
        <w:rPr>
          <w:rFonts w:ascii="Arial" w:cs="Arial" w:eastAsia="Arial" w:hAnsi="Arial"/>
          <w:b w:val="false"/>
          <w:bCs w:val="false"/>
          <w:color w:val="1A1A2E"/>
          <w:sz w:val="18"/>
          <w:szCs w:val="18"/>
        </w:rPr>
        <w:t xml:space="preserve">Client Admin makes the second sign-off decision on escalated cases.</w:t>
      </w:r>
    </w:p>
    <w:p>
      <w:pPr>
        <w:pStyle w:val="ListParagraph"/>
        <w:numPr>
          <w:ilvl w:val="0"/>
          <w:numId w:val="2"/>
        </w:numPr>
        <w:spacing w:after="55" w:before="55"/>
      </w:pPr>
      <w:r>
        <w:rPr>
          <w:rFonts w:ascii="Arial" w:cs="Arial" w:eastAsia="Arial" w:hAnsi="Arial"/>
          <w:b w:val="false"/>
          <w:bCs w:val="false"/>
          <w:color w:val="1A1A2E"/>
          <w:sz w:val="18"/>
          <w:szCs w:val="18"/>
        </w:rPr>
        <w:t xml:space="preserve">All escalations trigger a notification to the Client Admin (email or Slack — configurable by the client).</w:t>
      </w:r>
    </w:p>
    <w:p>
      <w:pPr>
        <w:pStyle w:val="ListParagraph"/>
        <w:numPr>
          <w:ilvl w:val="0"/>
          <w:numId w:val="2"/>
        </w:numPr>
        <w:spacing w:after="55" w:before="55"/>
      </w:pPr>
      <w:r>
        <w:rPr>
          <w:rFonts w:ascii="Arial" w:cs="Arial" w:eastAsia="Arial" w:hAnsi="Arial"/>
          <w:b w:val="false"/>
          <w:bCs w:val="false"/>
          <w:color w:val="1A1A2E"/>
          <w:sz w:val="18"/>
          <w:szCs w:val="18"/>
        </w:rPr>
        <w:t xml:space="preserve">Deeptrack Support Engineer can be looped in by the Client Admin if the escalation requires platform-level investigation.</w:t>
      </w:r>
    </w:p>
    <w:p>
      <w:pPr>
        <w:spacing w:after="0" w:before="200"/>
      </w:pPr>
      <w:r>
        <w:t xml:space="preserve"/>
      </w:r>
    </w:p>
    <w:p>
      <w:pPr>
        <w:spacing w:after="120" w:before="280"/>
      </w:pPr>
      <w:r>
        <w:rPr>
          <w:rFonts w:ascii="Arial" w:cs="Arial" w:eastAsia="Arial" w:hAnsi="Arial"/>
          <w:b/>
          <w:bCs/>
          <w:color w:val="0A2463"/>
          <w:sz w:val="22"/>
          <w:szCs w:val="22"/>
        </w:rPr>
        <w:t xml:space="preserve">1.6  Client Audit Trail</w:t>
      </w:r>
    </w:p>
    <w:p>
      <w:pPr>
        <w:spacing w:after="80" w:before="80" w:line="340"/>
      </w:pPr>
      <w:r>
        <w:rPr>
          <w:rFonts w:ascii="Arial" w:cs="Arial" w:eastAsia="Arial" w:hAnsi="Arial"/>
          <w:color w:val="1A1A2E"/>
          <w:sz w:val="19"/>
          <w:szCs w:val="19"/>
        </w:rPr>
        <w:t xml:space="preserve">Every client organisation has their own immutable, append-only audit trail covering all actions taken within their workspace. This is a core compliance requirement for regulated sector clients — banks, fintechs, and insurance companies cannot onboard Deeptrack without it.</w:t>
      </w:r>
    </w:p>
    <w:p>
      <w:pPr>
        <w:spacing w:after="0" w:before="80"/>
      </w:pPr>
      <w:r>
        <w:t xml:space="preserve"/>
      </w:r>
    </w:p>
    <w:p>
      <w:pPr>
        <w:spacing w:after="80" w:before="200"/>
      </w:pPr>
      <w:r>
        <w:rPr>
          <w:rFonts w:ascii="Arial" w:cs="Arial" w:eastAsia="Arial" w:hAnsi="Arial"/>
          <w:b/>
          <w:bCs/>
          <w:color w:val="1E88E5"/>
          <w:sz w:val="20"/>
          <w:szCs w:val="20"/>
        </w:rPr>
        <w:t xml:space="preserve">Events Captured</w:t>
      </w:r>
    </w:p>
    <w:p>
      <w:pPr>
        <w:pStyle w:val="ListParagraph"/>
        <w:numPr>
          <w:ilvl w:val="0"/>
          <w:numId w:val="2"/>
        </w:numPr>
        <w:spacing w:after="55" w:before="55"/>
      </w:pPr>
      <w:r>
        <w:rPr>
          <w:rFonts w:ascii="Arial" w:cs="Arial" w:eastAsia="Arial" w:hAnsi="Arial"/>
          <w:b w:val="false"/>
          <w:bCs w:val="false"/>
          <w:color w:val="1A1A2E"/>
          <w:sz w:val="18"/>
          <w:szCs w:val="18"/>
        </w:rPr>
        <w:t xml:space="preserve">Verification created, approved, rejected, escalated, expired, resubmission requested</w:t>
      </w:r>
    </w:p>
    <w:p>
      <w:pPr>
        <w:pStyle w:val="ListParagraph"/>
        <w:numPr>
          <w:ilvl w:val="0"/>
          <w:numId w:val="2"/>
        </w:numPr>
        <w:spacing w:after="55" w:before="55"/>
      </w:pPr>
      <w:r>
        <w:rPr>
          <w:rFonts w:ascii="Arial" w:cs="Arial" w:eastAsia="Arial" w:hAnsi="Arial"/>
          <w:b w:val="false"/>
          <w:bCs w:val="false"/>
          <w:color w:val="1A1A2E"/>
          <w:sz w:val="18"/>
          <w:szCs w:val="18"/>
        </w:rPr>
        <w:t xml:space="preserve">Document submitted, scan initiated, scan result recorded</w:t>
      </w:r>
    </w:p>
    <w:p>
      <w:pPr>
        <w:pStyle w:val="ListParagraph"/>
        <w:numPr>
          <w:ilvl w:val="0"/>
          <w:numId w:val="2"/>
        </w:numPr>
        <w:spacing w:after="55" w:before="55"/>
      </w:pPr>
      <w:r>
        <w:rPr>
          <w:rFonts w:ascii="Arial" w:cs="Arial" w:eastAsia="Arial" w:hAnsi="Arial"/>
          <w:b w:val="false"/>
          <w:bCs w:val="false"/>
          <w:color w:val="1A1A2E"/>
          <w:sz w:val="18"/>
          <w:szCs w:val="18"/>
        </w:rPr>
        <w:t xml:space="preserve">Manual review assigned, note added, decision made</w:t>
      </w:r>
    </w:p>
    <w:p>
      <w:pPr>
        <w:pStyle w:val="ListParagraph"/>
        <w:numPr>
          <w:ilvl w:val="0"/>
          <w:numId w:val="2"/>
        </w:numPr>
        <w:spacing w:after="55" w:before="55"/>
      </w:pPr>
      <w:r>
        <w:rPr>
          <w:rFonts w:ascii="Arial" w:cs="Arial" w:eastAsia="Arial" w:hAnsi="Arial"/>
          <w:b w:val="false"/>
          <w:bCs w:val="false"/>
          <w:color w:val="1A1A2E"/>
          <w:sz w:val="18"/>
          <w:szCs w:val="18"/>
        </w:rPr>
        <w:t xml:space="preserve">API key created, revoked, rate limit hit</w:t>
      </w:r>
    </w:p>
    <w:p>
      <w:pPr>
        <w:pStyle w:val="ListParagraph"/>
        <w:numPr>
          <w:ilvl w:val="0"/>
          <w:numId w:val="2"/>
        </w:numPr>
        <w:spacing w:after="55" w:before="55"/>
      </w:pPr>
      <w:r>
        <w:rPr>
          <w:rFonts w:ascii="Arial" w:cs="Arial" w:eastAsia="Arial" w:hAnsi="Arial"/>
          <w:b w:val="false"/>
          <w:bCs w:val="false"/>
          <w:color w:val="1A1A2E"/>
          <w:sz w:val="18"/>
          <w:szCs w:val="18"/>
        </w:rPr>
        <w:t xml:space="preserve">User invited, role changed, deactivated</w:t>
      </w:r>
    </w:p>
    <w:p>
      <w:pPr>
        <w:pStyle w:val="ListParagraph"/>
        <w:numPr>
          <w:ilvl w:val="0"/>
          <w:numId w:val="2"/>
        </w:numPr>
        <w:spacing w:after="55" w:before="55"/>
      </w:pPr>
      <w:r>
        <w:rPr>
          <w:rFonts w:ascii="Arial" w:cs="Arial" w:eastAsia="Arial" w:hAnsi="Arial"/>
          <w:b w:val="false"/>
          <w:bCs w:val="false"/>
          <w:color w:val="1A1A2E"/>
          <w:sz w:val="18"/>
          <w:szCs w:val="18"/>
        </w:rPr>
        <w:t xml:space="preserve">Webhook configured, delivery status changed</w:t>
      </w:r>
    </w:p>
    <w:p>
      <w:pPr>
        <w:pStyle w:val="ListParagraph"/>
        <w:numPr>
          <w:ilvl w:val="0"/>
          <w:numId w:val="2"/>
        </w:numPr>
        <w:spacing w:after="55" w:before="55"/>
      </w:pPr>
      <w:r>
        <w:rPr>
          <w:rFonts w:ascii="Arial" w:cs="Arial" w:eastAsia="Arial" w:hAnsi="Arial"/>
          <w:b w:val="false"/>
          <w:bCs w:val="false"/>
          <w:color w:val="1A1A2E"/>
          <w:sz w:val="18"/>
          <w:szCs w:val="18"/>
        </w:rPr>
        <w:t xml:space="preserve">Report generated, data exported — who exported what and when</w:t>
      </w:r>
    </w:p>
    <w:p>
      <w:pPr>
        <w:spacing w:after="0" w:before="80"/>
      </w:pPr>
      <w:r>
        <w:t xml:space="preserve"/>
      </w:r>
    </w:p>
    <w:p>
      <w:pPr>
        <w:spacing w:after="80" w:before="200"/>
      </w:pPr>
      <w:r>
        <w:rPr>
          <w:rFonts w:ascii="Arial" w:cs="Arial" w:eastAsia="Arial" w:hAnsi="Arial"/>
          <w:b/>
          <w:bCs/>
          <w:color w:val="1E88E5"/>
          <w:sz w:val="20"/>
          <w:szCs w:val="20"/>
        </w:rPr>
        <w:t xml:space="preserve">Audit Log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Field</w:t>
            </w:r>
          </w:p>
        </w:tc>
        <w:tc>
          <w:tcPr>
            <w:tcW w:type="dxa" w:w="14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Type</w:t>
            </w:r>
          </w:p>
        </w:tc>
        <w:tc>
          <w:tcPr>
            <w:tcW w:type="dxa" w:w="57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log_id</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UUID v4 — immutable identifier for this log entry</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event_type</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Namespaced event — e.g. verification.approved, user.role_changed</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actor_id</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User ID of the person who triggered the action</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actor_role</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Role of the actor at time of action</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target_type</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Resource type — verification | user | api_key | webhook | config</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target_id</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ID of the resource acted upon</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before</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object</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State of the resource before the action (nullable)</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after</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object</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State of the resource after the action</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ip_address</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IP address of the actor</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user_agent</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Browser / client user agent</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timestamp</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timestamp</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ISO 8601 — exact time of the action</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org_id</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Client organisation — ensures log isolation per client</w:t>
            </w:r>
          </w:p>
        </w:tc>
      </w:tr>
    </w:tbl>
    <w:p>
      <w:pPr>
        <w:spacing w:after="0" w:before="200"/>
      </w:pPr>
      <w:r>
        <w:t xml:space="preserve"/>
      </w:r>
    </w:p>
    <w:p>
      <w:pPr>
        <w:spacing w:after="120" w:before="280"/>
      </w:pPr>
      <w:r>
        <w:rPr>
          <w:rFonts w:ascii="Arial" w:cs="Arial" w:eastAsia="Arial" w:hAnsi="Arial"/>
          <w:b/>
          <w:bCs/>
          <w:color w:val="0A2463"/>
          <w:sz w:val="22"/>
          <w:szCs w:val="22"/>
        </w:rPr>
        <w:t xml:space="preserve">1.7  Reports &amp; Exports</w:t>
      </w:r>
    </w:p>
    <w:p>
      <w:pPr>
        <w:spacing w:after="80" w:before="80" w:line="340"/>
      </w:pPr>
      <w:r>
        <w:rPr>
          <w:rFonts w:ascii="Arial" w:cs="Arial" w:eastAsia="Arial" w:hAnsi="Arial"/>
          <w:color w:val="1A1A2E"/>
          <w:sz w:val="19"/>
          <w:szCs w:val="19"/>
        </w:rPr>
        <w:t xml:space="preserve">Clients in regulated sectors need structured compliance reports for internal governance, regulatory submissions, and external audits. All reports are scoped to the client's own organisation.</w:t>
      </w:r>
    </w:p>
    <w:p>
      <w:pPr>
        <w:spacing w:after="0" w:before="80"/>
      </w:pPr>
      <w:r>
        <w:t xml:space="preserve"/>
      </w:r>
    </w:p>
    <w:p>
      <w:pPr>
        <w:pStyle w:val="ListParagraph"/>
        <w:numPr>
          <w:ilvl w:val="0"/>
          <w:numId w:val="2"/>
        </w:numPr>
        <w:spacing w:after="55" w:before="55"/>
      </w:pPr>
      <w:r>
        <w:rPr>
          <w:rFonts w:ascii="Arial" w:cs="Arial" w:eastAsia="Arial" w:hAnsi="Arial"/>
          <w:b w:val="false"/>
          <w:bCs w:val="false"/>
          <w:color w:val="1A1A2E"/>
          <w:sz w:val="18"/>
          <w:szCs w:val="18"/>
        </w:rPr>
        <w:t xml:space="preserve">On-demand export from any filtered view in Verification Manager — CSV, PDF, or JSON.</w:t>
      </w:r>
    </w:p>
    <w:p>
      <w:pPr>
        <w:pStyle w:val="ListParagraph"/>
        <w:numPr>
          <w:ilvl w:val="0"/>
          <w:numId w:val="2"/>
        </w:numPr>
        <w:spacing w:after="55" w:before="55"/>
      </w:pPr>
      <w:r>
        <w:rPr>
          <w:rFonts w:ascii="Arial" w:cs="Arial" w:eastAsia="Arial" w:hAnsi="Arial"/>
          <w:b w:val="false"/>
          <w:bCs w:val="false"/>
          <w:color w:val="1A1A2E"/>
          <w:sz w:val="18"/>
          <w:szCs w:val="18"/>
        </w:rPr>
        <w:t xml:space="preserve">Scheduled reports — daily, weekly, monthly summaries delivered to the client's nominated email.</w:t>
      </w:r>
    </w:p>
    <w:p>
      <w:pPr>
        <w:pStyle w:val="ListParagraph"/>
        <w:numPr>
          <w:ilvl w:val="0"/>
          <w:numId w:val="2"/>
        </w:numPr>
        <w:spacing w:after="55" w:before="55"/>
      </w:pPr>
      <w:r>
        <w:rPr>
          <w:rFonts w:ascii="Arial" w:cs="Arial" w:eastAsia="Arial" w:hAnsi="Arial"/>
          <w:b w:val="false"/>
          <w:bCs w:val="false"/>
          <w:color w:val="1A1A2E"/>
          <w:sz w:val="18"/>
          <w:szCs w:val="18"/>
        </w:rPr>
        <w:t xml:space="preserve">Report types: Verification summary, Manual review log, Rejection analysis, Sentinel scan performance, API usage, Audit trail extract.</w:t>
      </w:r>
    </w:p>
    <w:p>
      <w:pPr>
        <w:pStyle w:val="ListParagraph"/>
        <w:numPr>
          <w:ilvl w:val="0"/>
          <w:numId w:val="2"/>
        </w:numPr>
        <w:spacing w:after="55" w:before="55"/>
      </w:pPr>
      <w:r>
        <w:rPr>
          <w:rFonts w:ascii="Arial" w:cs="Arial" w:eastAsia="Arial" w:hAnsi="Arial"/>
          <w:b w:val="false"/>
          <w:bCs w:val="false"/>
          <w:color w:val="1A1A2E"/>
          <w:sz w:val="18"/>
          <w:szCs w:val="18"/>
        </w:rPr>
        <w:t xml:space="preserve">White-label option — enterprise clients can generate reports with their own branding for submission to regulators.</w:t>
      </w:r>
    </w:p>
    <w:p>
      <w:pPr>
        <w:pStyle w:val="ListParagraph"/>
        <w:numPr>
          <w:ilvl w:val="0"/>
          <w:numId w:val="2"/>
        </w:numPr>
        <w:spacing w:after="55" w:before="55"/>
      </w:pPr>
      <w:r>
        <w:rPr>
          <w:rFonts w:ascii="Arial" w:cs="Arial" w:eastAsia="Arial" w:hAnsi="Arial"/>
          <w:b w:val="false"/>
          <w:bCs w:val="false"/>
          <w:color w:val="1A1A2E"/>
          <w:sz w:val="18"/>
          <w:szCs w:val="18"/>
        </w:rPr>
        <w:t xml:space="preserve">Data retention policy — clients can configure how long their verification records are stored (subject to regulatory minimums).</w:t>
      </w:r>
    </w:p>
    <w:p>
      <w:pPr>
        <w:spacing w:after="0" w:before="200"/>
      </w:pPr>
      <w:r>
        <w:t xml:space="preserve"/>
      </w:r>
    </w:p>
    <w:p>
      <w:pPr>
        <w:spacing w:after="120" w:before="280"/>
      </w:pPr>
      <w:r>
        <w:rPr>
          <w:rFonts w:ascii="Arial" w:cs="Arial" w:eastAsia="Arial" w:hAnsi="Arial"/>
          <w:b/>
          <w:bCs/>
          <w:color w:val="0A2463"/>
          <w:sz w:val="22"/>
          <w:szCs w:val="22"/>
        </w:rPr>
        <w:t xml:space="preserve">1.8  Client Portal Build Priority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260"/>
        <w:gridCol w:w="1600"/>
      </w:tblGrid>
      <w:tr>
        <w:tc>
          <w:tcPr>
            <w:tcW w:type="dxa" w:w="7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w:t>
            </w:r>
          </w:p>
        </w:tc>
        <w:tc>
          <w:tcPr>
            <w:tcW w:type="dxa" w:w="28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Module</w:t>
            </w:r>
          </w:p>
        </w:tc>
        <w:tc>
          <w:tcPr>
            <w:tcW w:type="dxa" w:w="42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Why This First</w:t>
            </w:r>
          </w:p>
        </w:tc>
        <w:tc>
          <w:tcPr>
            <w:tcW w:type="dxa" w:w="16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Owner</w:t>
            </w:r>
          </w:p>
        </w:tc>
      </w:tr>
      <w:tr>
        <w:tc>
          <w:tcPr>
            <w:tcW w:type="dxa" w:w="700"/>
            <w:tcBorders>
              <w:top w:val="single" w:color="DDDDDD" w:sz="1"/>
              <w:left w:val="single" w:color="DDDDDD" w:sz="1"/>
              <w:bottom w:val="single" w:color="DDDDDD" w:sz="1"/>
              <w:right w:val="single" w:color="DDDDDD" w:sz="1"/>
            </w:tcBorders>
            <w:shd w:fill="E8F0FE" w:val="clear"/>
            <w:tcMar>
              <w:top w:type="dxa" w:w="80"/>
              <w:left w:type="dxa" w:w="80"/>
              <w:bottom w:type="dxa" w:w="80"/>
              <w:right w:type="dxa" w:w="80"/>
            </w:tcMar>
            <w:vAlign w:val="center"/>
          </w:tcPr>
          <w:p>
            <w:pPr>
              <w:jc w:val="center"/>
            </w:pPr>
            <w:r>
              <w:rPr>
                <w:rFonts w:ascii="Arial" w:cs="Arial" w:eastAsia="Arial" w:hAnsi="Arial"/>
                <w:b/>
                <w:bCs/>
                <w:color w:val="0A2463"/>
                <w:sz w:val="17"/>
                <w:szCs w:val="17"/>
              </w:rPr>
              <w:t xml:space="preserve">1</w:t>
            </w:r>
          </w:p>
        </w:tc>
        <w:tc>
          <w:tcPr>
            <w:tcW w:type="dxa" w:w="2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bCs/>
                <w:color w:val="0A2463"/>
                <w:sz w:val="17"/>
                <w:szCs w:val="17"/>
              </w:rPr>
              <w:t xml:space="preserve">Manual Review Queue</w:t>
            </w:r>
          </w:p>
        </w:tc>
        <w:tc>
          <w:tcPr>
            <w:tcW w:type="dxa" w:w="426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color w:val="1A1A2E"/>
                <w:sz w:val="17"/>
                <w:szCs w:val="17"/>
              </w:rPr>
              <w:t xml:space="preserve">Clients have ~40 unmanaged cases right now. Compliance risk without a structured queue.</w:t>
            </w:r>
          </w:p>
        </w:tc>
        <w:tc>
          <w:tcPr>
            <w:tcW w:type="dxa" w:w="16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vAlign w:val="center"/>
          </w:tcPr>
          <w:p>
            <w:pPr>
              <w:jc w:val="center"/>
            </w:pPr>
            <w:r>
              <w:rPr>
                <w:rFonts w:ascii="Arial" w:cs="Arial" w:eastAsia="Arial" w:hAnsi="Arial"/>
                <w:color w:val="4A4A6A"/>
                <w:sz w:val="17"/>
                <w:szCs w:val="17"/>
              </w:rPr>
              <w:t xml:space="preserve">Sage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0A2463"/>
                <w:sz w:val="17"/>
                <w:szCs w:val="17"/>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A2463"/>
                <w:sz w:val="17"/>
                <w:szCs w:val="17"/>
              </w:rPr>
              <w:t xml:space="preserve">Dashboard Time Filters</w:t>
            </w:r>
          </w:p>
        </w:tc>
        <w:tc>
          <w:tcPr>
            <w:tcW w:type="dxa" w:w="42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7"/>
                <w:szCs w:val="17"/>
              </w:rPr>
              <w:t xml:space="preserve">Metrics are uninterpretable without time context. First thing every client asks.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center"/>
            </w:pPr>
            <w:r>
              <w:rPr>
                <w:rFonts w:ascii="Arial" w:cs="Arial" w:eastAsia="Arial" w:hAnsi="Arial"/>
                <w:color w:val="4A4A6A"/>
                <w:sz w:val="17"/>
                <w:szCs w:val="17"/>
              </w:rPr>
              <w:t xml:space="preserve">Ian</w:t>
            </w:r>
          </w:p>
        </w:tc>
      </w:tr>
      <w:tr>
        <w:tc>
          <w:tcPr>
            <w:tcW w:type="dxa" w:w="700"/>
            <w:tcBorders>
              <w:top w:val="single" w:color="DDDDDD" w:sz="1"/>
              <w:left w:val="single" w:color="DDDDDD" w:sz="1"/>
              <w:bottom w:val="single" w:color="DDDDDD" w:sz="1"/>
              <w:right w:val="single" w:color="DDDDDD" w:sz="1"/>
            </w:tcBorders>
            <w:shd w:fill="E8F0FE" w:val="clear"/>
            <w:tcMar>
              <w:top w:type="dxa" w:w="80"/>
              <w:left w:type="dxa" w:w="80"/>
              <w:bottom w:type="dxa" w:w="80"/>
              <w:right w:type="dxa" w:w="80"/>
            </w:tcMar>
            <w:vAlign w:val="center"/>
          </w:tcPr>
          <w:p>
            <w:pPr>
              <w:jc w:val="center"/>
            </w:pPr>
            <w:r>
              <w:rPr>
                <w:rFonts w:ascii="Arial" w:cs="Arial" w:eastAsia="Arial" w:hAnsi="Arial"/>
                <w:b/>
                <w:bCs/>
                <w:color w:val="0A2463"/>
                <w:sz w:val="17"/>
                <w:szCs w:val="17"/>
              </w:rPr>
              <w:t xml:space="preserve">3</w:t>
            </w:r>
          </w:p>
        </w:tc>
        <w:tc>
          <w:tcPr>
            <w:tcW w:type="dxa" w:w="2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bCs/>
                <w:color w:val="0A2463"/>
                <w:sz w:val="17"/>
                <w:szCs w:val="17"/>
              </w:rPr>
              <w:t xml:space="preserve">Client Audit Trail</w:t>
            </w:r>
          </w:p>
        </w:tc>
        <w:tc>
          <w:tcPr>
            <w:tcW w:type="dxa" w:w="426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color w:val="1A1A2E"/>
                <w:sz w:val="17"/>
                <w:szCs w:val="17"/>
              </w:rPr>
              <w:t xml:space="preserve">Hard requirement for any bank, fintech, or insurer. Blocks enterprise deals without it.</w:t>
            </w:r>
          </w:p>
        </w:tc>
        <w:tc>
          <w:tcPr>
            <w:tcW w:type="dxa" w:w="16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vAlign w:val="center"/>
          </w:tcPr>
          <w:p>
            <w:pPr>
              <w:jc w:val="center"/>
            </w:pPr>
            <w:r>
              <w:rPr>
                <w:rFonts w:ascii="Arial" w:cs="Arial" w:eastAsia="Arial" w:hAnsi="Arial"/>
                <w:color w:val="4A4A6A"/>
                <w:sz w:val="17"/>
                <w:szCs w:val="17"/>
              </w:rPr>
              <w:t xml:space="preserve">Sage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0A2463"/>
                <w:sz w:val="17"/>
                <w:szCs w:val="17"/>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A2463"/>
                <w:sz w:val="17"/>
                <w:szCs w:val="17"/>
              </w:rPr>
              <w:t xml:space="preserve">Verification Manager</w:t>
            </w:r>
          </w:p>
        </w:tc>
        <w:tc>
          <w:tcPr>
            <w:tcW w:type="dxa" w:w="42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7"/>
                <w:szCs w:val="17"/>
              </w:rPr>
              <w:t xml:space="preserve">Core day-to-day operational tool for client compliance teams.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center"/>
            </w:pPr>
            <w:r>
              <w:rPr>
                <w:rFonts w:ascii="Arial" w:cs="Arial" w:eastAsia="Arial" w:hAnsi="Arial"/>
                <w:color w:val="4A4A6A"/>
                <w:sz w:val="17"/>
                <w:szCs w:val="17"/>
              </w:rPr>
              <w:t xml:space="preserve">Sage + Ian</w:t>
            </w:r>
          </w:p>
        </w:tc>
      </w:tr>
      <w:tr>
        <w:tc>
          <w:tcPr>
            <w:tcW w:type="dxa" w:w="700"/>
            <w:tcBorders>
              <w:top w:val="single" w:color="DDDDDD" w:sz="1"/>
              <w:left w:val="single" w:color="DDDDDD" w:sz="1"/>
              <w:bottom w:val="single" w:color="DDDDDD" w:sz="1"/>
              <w:right w:val="single" w:color="DDDDDD" w:sz="1"/>
            </w:tcBorders>
            <w:shd w:fill="E8F0FE" w:val="clear"/>
            <w:tcMar>
              <w:top w:type="dxa" w:w="80"/>
              <w:left w:type="dxa" w:w="80"/>
              <w:bottom w:type="dxa" w:w="80"/>
              <w:right w:type="dxa" w:w="80"/>
            </w:tcMar>
            <w:vAlign w:val="center"/>
          </w:tcPr>
          <w:p>
            <w:pPr>
              <w:jc w:val="center"/>
            </w:pPr>
            <w:r>
              <w:rPr>
                <w:rFonts w:ascii="Arial" w:cs="Arial" w:eastAsia="Arial" w:hAnsi="Arial"/>
                <w:b/>
                <w:bCs/>
                <w:color w:val="0A2463"/>
                <w:sz w:val="17"/>
                <w:szCs w:val="17"/>
              </w:rPr>
              <w:t xml:space="preserve">5</w:t>
            </w:r>
          </w:p>
        </w:tc>
        <w:tc>
          <w:tcPr>
            <w:tcW w:type="dxa" w:w="2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bCs/>
                <w:color w:val="0A2463"/>
                <w:sz w:val="17"/>
                <w:szCs w:val="17"/>
              </w:rPr>
              <w:t xml:space="preserve">User Management</w:t>
            </w:r>
          </w:p>
        </w:tc>
        <w:tc>
          <w:tcPr>
            <w:tcW w:type="dxa" w:w="426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color w:val="1A1A2E"/>
                <w:sz w:val="17"/>
                <w:szCs w:val="17"/>
              </w:rPr>
              <w:t xml:space="preserve">Clients need to add their own analysts and developers without contacting Deeptrack.</w:t>
            </w:r>
          </w:p>
        </w:tc>
        <w:tc>
          <w:tcPr>
            <w:tcW w:type="dxa" w:w="16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vAlign w:val="center"/>
          </w:tcPr>
          <w:p>
            <w:pPr>
              <w:jc w:val="center"/>
            </w:pPr>
            <w:r>
              <w:rPr>
                <w:rFonts w:ascii="Arial" w:cs="Arial" w:eastAsia="Arial" w:hAnsi="Arial"/>
                <w:color w:val="4A4A6A"/>
                <w:sz w:val="17"/>
                <w:szCs w:val="17"/>
              </w:rPr>
              <w:t xml:space="preserve">Sage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0A2463"/>
                <w:sz w:val="17"/>
                <w:szCs w:val="17"/>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A2463"/>
                <w:sz w:val="17"/>
                <w:szCs w:val="17"/>
              </w:rPr>
              <w:t xml:space="preserve">Funnel Chart</w:t>
            </w:r>
          </w:p>
        </w:tc>
        <w:tc>
          <w:tcPr>
            <w:tcW w:type="dxa" w:w="42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7"/>
                <w:szCs w:val="17"/>
              </w:rPr>
              <w:t xml:space="preserve">Diagnoses the 57% drop-off — critical insight for client onboarding optimisation.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center"/>
            </w:pPr>
            <w:r>
              <w:rPr>
                <w:rFonts w:ascii="Arial" w:cs="Arial" w:eastAsia="Arial" w:hAnsi="Arial"/>
                <w:color w:val="4A4A6A"/>
                <w:sz w:val="17"/>
                <w:szCs w:val="17"/>
              </w:rPr>
              <w:t xml:space="preserve">Ian</w:t>
            </w:r>
          </w:p>
        </w:tc>
      </w:tr>
      <w:tr>
        <w:tc>
          <w:tcPr>
            <w:tcW w:type="dxa" w:w="700"/>
            <w:tcBorders>
              <w:top w:val="single" w:color="DDDDDD" w:sz="1"/>
              <w:left w:val="single" w:color="DDDDDD" w:sz="1"/>
              <w:bottom w:val="single" w:color="DDDDDD" w:sz="1"/>
              <w:right w:val="single" w:color="DDDDDD" w:sz="1"/>
            </w:tcBorders>
            <w:shd w:fill="E8F0FE" w:val="clear"/>
            <w:tcMar>
              <w:top w:type="dxa" w:w="80"/>
              <w:left w:type="dxa" w:w="80"/>
              <w:bottom w:type="dxa" w:w="80"/>
              <w:right w:type="dxa" w:w="80"/>
            </w:tcMar>
            <w:vAlign w:val="center"/>
          </w:tcPr>
          <w:p>
            <w:pPr>
              <w:jc w:val="center"/>
            </w:pPr>
            <w:r>
              <w:rPr>
                <w:rFonts w:ascii="Arial" w:cs="Arial" w:eastAsia="Arial" w:hAnsi="Arial"/>
                <w:b/>
                <w:bCs/>
                <w:color w:val="0A2463"/>
                <w:sz w:val="17"/>
                <w:szCs w:val="17"/>
              </w:rPr>
              <w:t xml:space="preserve">7</w:t>
            </w:r>
          </w:p>
        </w:tc>
        <w:tc>
          <w:tcPr>
            <w:tcW w:type="dxa" w:w="2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bCs/>
                <w:color w:val="0A2463"/>
                <w:sz w:val="17"/>
                <w:szCs w:val="17"/>
              </w:rPr>
              <w:t xml:space="preserve">Reports &amp; Exports</w:t>
            </w:r>
          </w:p>
        </w:tc>
        <w:tc>
          <w:tcPr>
            <w:tcW w:type="dxa" w:w="426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color w:val="1A1A2E"/>
                <w:sz w:val="17"/>
                <w:szCs w:val="17"/>
              </w:rPr>
              <w:t xml:space="preserve">Needed for regulated sector client onboarding — compliance reporting is non-negotiable.</w:t>
            </w:r>
          </w:p>
        </w:tc>
        <w:tc>
          <w:tcPr>
            <w:tcW w:type="dxa" w:w="16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vAlign w:val="center"/>
          </w:tcPr>
          <w:p>
            <w:pPr>
              <w:jc w:val="center"/>
            </w:pPr>
            <w:r>
              <w:rPr>
                <w:rFonts w:ascii="Arial" w:cs="Arial" w:eastAsia="Arial" w:hAnsi="Arial"/>
                <w:color w:val="4A4A6A"/>
                <w:sz w:val="17"/>
                <w:szCs w:val="17"/>
              </w:rPr>
              <w:t xml:space="preserve">Sage + Ian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0A2463"/>
                <w:sz w:val="17"/>
                <w:szCs w:val="17"/>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A2463"/>
                <w:sz w:val="17"/>
                <w:szCs w:val="17"/>
              </w:rPr>
              <w:t xml:space="preserve">Billing &amp; Usage</w:t>
            </w:r>
          </w:p>
        </w:tc>
        <w:tc>
          <w:tcPr>
            <w:tcW w:type="dxa" w:w="42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7"/>
                <w:szCs w:val="17"/>
              </w:rPr>
              <w:t xml:space="preserve">Clients need self-serve visibility into scan usage against their plan.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center"/>
            </w:pPr>
            <w:r>
              <w:rPr>
                <w:rFonts w:ascii="Arial" w:cs="Arial" w:eastAsia="Arial" w:hAnsi="Arial"/>
                <w:color w:val="4A4A6A"/>
                <w:sz w:val="17"/>
                <w:szCs w:val="17"/>
              </w:rPr>
              <w:t xml:space="preserve">Ian</w:t>
            </w:r>
          </w:p>
        </w:tc>
      </w:tr>
      <w:tr>
        <w:tc>
          <w:tcPr>
            <w:tcW w:type="dxa" w:w="700"/>
            <w:tcBorders>
              <w:top w:val="single" w:color="DDDDDD" w:sz="1"/>
              <w:left w:val="single" w:color="DDDDDD" w:sz="1"/>
              <w:bottom w:val="single" w:color="DDDDDD" w:sz="1"/>
              <w:right w:val="single" w:color="DDDDDD" w:sz="1"/>
            </w:tcBorders>
            <w:shd w:fill="E8F0FE" w:val="clear"/>
            <w:tcMar>
              <w:top w:type="dxa" w:w="80"/>
              <w:left w:type="dxa" w:w="80"/>
              <w:bottom w:type="dxa" w:w="80"/>
              <w:right w:type="dxa" w:w="80"/>
            </w:tcMar>
            <w:vAlign w:val="center"/>
          </w:tcPr>
          <w:p>
            <w:pPr>
              <w:jc w:val="center"/>
            </w:pPr>
            <w:r>
              <w:rPr>
                <w:rFonts w:ascii="Arial" w:cs="Arial" w:eastAsia="Arial" w:hAnsi="Arial"/>
                <w:b/>
                <w:bCs/>
                <w:color w:val="0A2463"/>
                <w:sz w:val="17"/>
                <w:szCs w:val="17"/>
              </w:rPr>
              <w:t xml:space="preserve">9</w:t>
            </w:r>
          </w:p>
        </w:tc>
        <w:tc>
          <w:tcPr>
            <w:tcW w:type="dxa" w:w="2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bCs/>
                <w:color w:val="0A2463"/>
                <w:sz w:val="17"/>
                <w:szCs w:val="17"/>
              </w:rPr>
              <w:t xml:space="preserve">Webhook Management</w:t>
            </w:r>
          </w:p>
        </w:tc>
        <w:tc>
          <w:tcPr>
            <w:tcW w:type="dxa" w:w="426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color w:val="1A1A2E"/>
                <w:sz w:val="17"/>
                <w:szCs w:val="17"/>
              </w:rPr>
              <w:t xml:space="preserve">Operational polish for API integrators — improves developer experience.</w:t>
            </w:r>
          </w:p>
        </w:tc>
        <w:tc>
          <w:tcPr>
            <w:tcW w:type="dxa" w:w="16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vAlign w:val="center"/>
          </w:tcPr>
          <w:p>
            <w:pPr>
              <w:jc w:val="center"/>
            </w:pPr>
            <w:r>
              <w:rPr>
                <w:rFonts w:ascii="Arial" w:cs="Arial" w:eastAsia="Arial" w:hAnsi="Arial"/>
                <w:color w:val="4A4A6A"/>
                <w:sz w:val="17"/>
                <w:szCs w:val="17"/>
              </w:rPr>
              <w:t xml:space="preserve">Ian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vAlign w:val="center"/>
          </w:tcPr>
          <w:p>
            <w:pPr>
              <w:jc w:val="center"/>
            </w:pPr>
            <w:r>
              <w:rPr>
                <w:rFonts w:ascii="Arial" w:cs="Arial" w:eastAsia="Arial" w:hAnsi="Arial"/>
                <w:b/>
                <w:bCs/>
                <w:color w:val="0A2463"/>
                <w:sz w:val="17"/>
                <w:szCs w:val="17"/>
              </w:rPr>
              <w:t xml:space="preserve">10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A2463"/>
                <w:sz w:val="17"/>
                <w:szCs w:val="17"/>
              </w:rPr>
              <w:t xml:space="preserve">Documentation &amp; Sandbox</w:t>
            </w:r>
          </w:p>
        </w:tc>
        <w:tc>
          <w:tcPr>
            <w:tcW w:type="dxa" w:w="42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7"/>
                <w:szCs w:val="17"/>
              </w:rPr>
              <w:t xml:space="preserve">Self-serve onboarding for client developers — reduces support load on Deeptrack team.</w:t>
            </w:r>
          </w:p>
        </w:tc>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pPr>
              <w:jc w:val="center"/>
            </w:pPr>
            <w:r>
              <w:rPr>
                <w:rFonts w:ascii="Arial" w:cs="Arial" w:eastAsia="Arial" w:hAnsi="Arial"/>
                <w:color w:val="4A4A6A"/>
                <w:sz w:val="17"/>
                <w:szCs w:val="17"/>
              </w:rPr>
              <w:t xml:space="preserve">Sage</w:t>
            </w:r>
          </w:p>
        </w:tc>
      </w:tr>
    </w:tbl>
    <w:p>
      <w:pPr>
        <w:spacing w:after="0" w:before="200"/>
      </w:pPr>
      <w:r>
        <w:t xml:space="preserve"/>
      </w:r>
    </w:p>
    <w:p>
      <w:pPr>
        <w:pStyle w:val="Heading1"/>
        <w:pBdr>
          <w:bottom w:val="single" w:color="1E88E5" w:sz="8" w:space="6"/>
        </w:pBdr>
        <w:spacing w:after="160" w:before="360"/>
      </w:pPr>
      <w:r>
        <w:rPr>
          <w:rFonts w:ascii="Arial" w:cs="Arial" w:eastAsia="Arial" w:hAnsi="Arial"/>
          <w:b/>
          <w:bCs/>
          <w:color w:val="0A2463"/>
          <w:sz w:val="28"/>
          <w:szCs w:val="28"/>
        </w:rPr>
        <w:t xml:space="preserve">Part 2 — Telemetry Schema</w:t>
      </w:r>
    </w:p>
    <w:p>
      <w:pPr>
        <w:spacing w:after="80" w:before="80" w:line="340"/>
      </w:pPr>
      <w:r>
        <w:rPr>
          <w:rFonts w:ascii="Arial" w:cs="Arial" w:eastAsia="Arial" w:hAnsi="Arial"/>
          <w:color w:val="1A1A2E"/>
          <w:sz w:val="19"/>
          <w:szCs w:val="19"/>
        </w:rPr>
        <w:t xml:space="preserve">Telemetry is the instrumentation layer that turns platform activity into actionable data. Every meaningful action — by an applicant going through a verification, a client analyst reviewing a case, or the Sentinel API processing a scan — emits a structured event.</w:t>
      </w:r>
    </w:p>
    <w:p>
      <w:pPr>
        <w:spacing w:after="0" w:before="80"/>
      </w:pPr>
      <w:r>
        <w:t xml:space="preserve"/>
      </w:r>
    </w:p>
    <w:p>
      <w:pPr>
        <w:spacing w:after="80" w:before="80" w:line="340"/>
      </w:pPr>
      <w:r>
        <w:rPr>
          <w:rFonts w:ascii="Arial" w:cs="Arial" w:eastAsia="Arial" w:hAnsi="Arial"/>
          <w:color w:val="1A1A2E"/>
          <w:sz w:val="19"/>
          <w:szCs w:val="19"/>
        </w:rPr>
        <w:t xml:space="preserve">These events serve two audiences: Deeptrack (platform health, product improvement, cross-client insights) and the client (their own dashboard metrics, drop-off analysis, and compliance reporting).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95C" w:sz="10"/>
              <w:bottom w:val="none" w:color="FFFFFF" w:sz="0"/>
              <w:right w:val="none" w:color="FFFFFF" w:sz="0"/>
            </w:tcBorders>
            <w:shd w:fill="E0F2F1" w:val="clear"/>
            <w:tcMar>
              <w:top w:type="dxa" w:w="120"/>
              <w:left w:type="dxa" w:w="240"/>
              <w:bottom w:type="dxa" w:w="120"/>
              <w:right w:type="dxa" w:w="240"/>
            </w:tcMar>
          </w:tcPr>
          <w:p>
            <w:r>
              <w:rPr>
                <w:rFonts w:ascii="Arial" w:cs="Arial" w:eastAsia="Arial" w:hAnsi="Arial"/>
                <w:color w:val="00695C"/>
                <w:sz w:val="18"/>
                <w:szCs w:val="18"/>
              </w:rPr>
              <w:t xml:space="preserve">Without telemetry, neither Deeptrack nor the client can diagnose the 57% verification drop-off visible in today's dashboard. Event-level data shows exactly which step in the flow is losing applicants.</w:t>
            </w:r>
          </w:p>
        </w:tc>
      </w:tr>
    </w:tbl>
    <w:p>
      <w:pPr>
        <w:spacing w:after="0" w:before="200"/>
      </w:pPr>
      <w:r>
        <w:t xml:space="preserve"/>
      </w:r>
    </w:p>
    <w:p>
      <w:pPr>
        <w:spacing w:after="120" w:before="280"/>
      </w:pPr>
      <w:r>
        <w:rPr>
          <w:rFonts w:ascii="Arial" w:cs="Arial" w:eastAsia="Arial" w:hAnsi="Arial"/>
          <w:b/>
          <w:bCs/>
          <w:color w:val="0A2463"/>
          <w:sz w:val="22"/>
          <w:szCs w:val="22"/>
        </w:rPr>
        <w:t xml:space="preserve">2.1  Telemetry Architecture</w:t>
      </w:r>
    </w:p>
    <w:p>
      <w:pPr>
        <w:spacing w:after="80" w:before="80" w:line="340"/>
      </w:pPr>
      <w:r>
        <w:rPr>
          <w:rFonts w:ascii="Arial" w:cs="Arial" w:eastAsia="Arial" w:hAnsi="Arial"/>
          <w:color w:val="1A1A2E"/>
          <w:sz w:val="19"/>
          <w:szCs w:val="19"/>
        </w:rPr>
        <w:t xml:space="preserve">Events are emitted by both client-side (applicant flow) and server-side (Sentinel API, webhook service, Convex backend) components. All events are async and non-blocking — telemetry never delays a verification.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Layer</w:t>
            </w:r>
          </w:p>
        </w:tc>
        <w:tc>
          <w:tcPr>
            <w:tcW w:type="dxa" w:w="31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Recommended Tool</w:t>
            </w:r>
          </w:p>
        </w:tc>
        <w:tc>
          <w:tcPr>
            <w:tcW w:type="dxa" w:w="38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Purpose</w:t>
            </w:r>
          </w:p>
        </w:tc>
      </w:tr>
      <w:tr>
        <w:tc>
          <w:tcPr>
            <w:tcW w:type="dxa" w:w="24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vAlign w:val="center"/>
          </w:tcPr>
          <w:p>
            <w:r>
              <w:rPr>
                <w:rFonts w:ascii="Arial" w:cs="Arial" w:eastAsia="Arial" w:hAnsi="Arial"/>
                <w:b/>
                <w:bCs/>
                <w:color w:val="00695C"/>
                <w:sz w:val="17"/>
                <w:szCs w:val="17"/>
              </w:rPr>
              <w:t xml:space="preserve">Event Collection</w:t>
            </w:r>
          </w:p>
        </w:tc>
        <w:tc>
          <w:tcPr>
            <w:tcW w:type="dxa" w:w="316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b/>
                <w:bCs/>
                <w:color w:val="1A1A2E"/>
                <w:sz w:val="17"/>
                <w:szCs w:val="17"/>
              </w:rPr>
              <w:t xml:space="preserve">PostHog (self-hosted on AWS/GCP)</w:t>
            </w:r>
          </w:p>
        </w:tc>
        <w:tc>
          <w:tcPr>
            <w:tcW w:type="dxa" w:w="3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color w:val="1A1A2E"/>
                <w:sz w:val="17"/>
                <w:szCs w:val="17"/>
              </w:rPr>
              <w:t xml:space="preserve">Captures all frontend and backend events. Open source, no per-event cost.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r>
              <w:rPr>
                <w:rFonts w:ascii="Arial" w:cs="Arial" w:eastAsia="Arial" w:hAnsi="Arial"/>
                <w:b/>
                <w:bCs/>
                <w:color w:val="00695C"/>
                <w:sz w:val="17"/>
                <w:szCs w:val="17"/>
              </w:rPr>
              <w:t xml:space="preserve">Event Storage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A1A2E"/>
                <w:sz w:val="17"/>
                <w:szCs w:val="17"/>
              </w:rPr>
              <w:t xml:space="preserve">Convex (existing) + TimescaleDB</w:t>
            </w:r>
          </w:p>
        </w:tc>
        <w:tc>
          <w:tcPr>
            <w:tcW w:type="dxa" w:w="3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7"/>
                <w:szCs w:val="17"/>
              </w:rPr>
              <w:t xml:space="preserve">Raw event store with time-series optimisation for analytics queries.</w:t>
            </w:r>
          </w:p>
        </w:tc>
      </w:tr>
      <w:tr>
        <w:tc>
          <w:tcPr>
            <w:tcW w:type="dxa" w:w="24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vAlign w:val="center"/>
          </w:tcPr>
          <w:p>
            <w:r>
              <w:rPr>
                <w:rFonts w:ascii="Arial" w:cs="Arial" w:eastAsia="Arial" w:hAnsi="Arial"/>
                <w:b/>
                <w:bCs/>
                <w:color w:val="00695C"/>
                <w:sz w:val="17"/>
                <w:szCs w:val="17"/>
              </w:rPr>
              <w:t xml:space="preserve">Stream Processing</w:t>
            </w:r>
          </w:p>
        </w:tc>
        <w:tc>
          <w:tcPr>
            <w:tcW w:type="dxa" w:w="316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b/>
                <w:bCs/>
                <w:color w:val="1A1A2E"/>
                <w:sz w:val="17"/>
                <w:szCs w:val="17"/>
              </w:rPr>
              <w:t xml:space="preserve">Convex Actions / AWS Lambda</w:t>
            </w:r>
          </w:p>
        </w:tc>
        <w:tc>
          <w:tcPr>
            <w:tcW w:type="dxa" w:w="3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color w:val="1A1A2E"/>
                <w:sz w:val="17"/>
                <w:szCs w:val="17"/>
              </w:rPr>
              <w:t xml:space="preserve">Real-time: trigger alerts, update client dashboard aggregates.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r>
              <w:rPr>
                <w:rFonts w:ascii="Arial" w:cs="Arial" w:eastAsia="Arial" w:hAnsi="Arial"/>
                <w:b/>
                <w:bCs/>
                <w:color w:val="00695C"/>
                <w:sz w:val="17"/>
                <w:szCs w:val="17"/>
              </w:rPr>
              <w:t xml:space="preserve">Client Analytics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A1A2E"/>
                <w:sz w:val="17"/>
                <w:szCs w:val="17"/>
              </w:rPr>
              <w:t xml:space="preserve">PostHog dashboards (per org_id)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7"/>
                <w:szCs w:val="17"/>
              </w:rPr>
              <w:t xml:space="preserve">Per-client funnel reports, cohort analysis, drop-off visualisation.</w:t>
            </w:r>
          </w:p>
        </w:tc>
      </w:tr>
      <w:tr>
        <w:tc>
          <w:tcPr>
            <w:tcW w:type="dxa" w:w="24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vAlign w:val="center"/>
          </w:tcPr>
          <w:p>
            <w:r>
              <w:rPr>
                <w:rFonts w:ascii="Arial" w:cs="Arial" w:eastAsia="Arial" w:hAnsi="Arial"/>
                <w:b/>
                <w:bCs/>
                <w:color w:val="00695C"/>
                <w:sz w:val="17"/>
                <w:szCs w:val="17"/>
              </w:rPr>
              <w:t xml:space="preserve">Alerting</w:t>
            </w:r>
          </w:p>
        </w:tc>
        <w:tc>
          <w:tcPr>
            <w:tcW w:type="dxa" w:w="316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b/>
                <w:bCs/>
                <w:color w:val="1A1A2E"/>
                <w:sz w:val="17"/>
                <w:szCs w:val="17"/>
              </w:rPr>
              <w:t xml:space="preserve">PostHog alerts or PagerDuty</w:t>
            </w:r>
          </w:p>
        </w:tc>
        <w:tc>
          <w:tcPr>
            <w:tcW w:type="dxa" w:w="3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color w:val="1A1A2E"/>
                <w:sz w:val="17"/>
                <w:szCs w:val="17"/>
              </w:rPr>
              <w:t xml:space="preserve">Threshold alerts to client admins and Deeptrack ops.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vAlign w:val="center"/>
          </w:tcPr>
          <w:p>
            <w:r>
              <w:rPr>
                <w:rFonts w:ascii="Arial" w:cs="Arial" w:eastAsia="Arial" w:hAnsi="Arial"/>
                <w:b/>
                <w:bCs/>
                <w:color w:val="00695C"/>
                <w:sz w:val="17"/>
                <w:szCs w:val="17"/>
              </w:rPr>
              <w:t xml:space="preserve">Error Tracking</w:t>
            </w:r>
          </w:p>
        </w:tc>
        <w:tc>
          <w:tcPr>
            <w:tcW w:type="dxa" w:w="31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A1A2E"/>
                <w:sz w:val="17"/>
                <w:szCs w:val="17"/>
              </w:rPr>
              <w:t xml:space="preserve">Sentry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7"/>
                <w:szCs w:val="17"/>
              </w:rPr>
              <w:t xml:space="preserve">Frontend and backend exceptions with full stack traces.</w:t>
            </w:r>
          </w:p>
        </w:tc>
      </w:tr>
    </w:tbl>
    <w:p>
      <w:pPr>
        <w:spacing w:after="0" w:before="200"/>
      </w:pPr>
      <w:r>
        <w:t xml:space="preserve"/>
      </w:r>
    </w:p>
    <w:p>
      <w:pPr>
        <w:spacing w:after="120" w:before="280"/>
      </w:pPr>
      <w:r>
        <w:rPr>
          <w:rFonts w:ascii="Arial" w:cs="Arial" w:eastAsia="Arial" w:hAnsi="Arial"/>
          <w:b/>
          <w:bCs/>
          <w:color w:val="0A2463"/>
          <w:sz w:val="22"/>
          <w:szCs w:val="22"/>
        </w:rPr>
        <w:t xml:space="preserve">2.2  Full Event Catalogue</w:t>
      </w:r>
    </w:p>
    <w:p>
      <w:pPr>
        <w:spacing w:after="80" w:before="80" w:line="340"/>
      </w:pPr>
      <w:r>
        <w:rPr>
          <w:rFonts w:ascii="Arial" w:cs="Arial" w:eastAsia="Arial" w:hAnsi="Arial"/>
          <w:color w:val="1A1A2E"/>
          <w:sz w:val="19"/>
          <w:szCs w:val="19"/>
        </w:rPr>
        <w:t xml:space="preserve">All events are namespaced by domain. Actor type distinguishes applicant-triggered events (the client's end-users going through verification), analyst-triggered events (the client's compliance team), client-triggered events (client admins and developers), and system events (automated platform processes).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Event Type</w:t>
            </w:r>
          </w:p>
        </w:tc>
        <w:tc>
          <w:tcPr>
            <w:tcW w:type="dxa" w:w="14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Actor</w:t>
            </w:r>
          </w:p>
        </w:tc>
        <w:tc>
          <w:tcPr>
            <w:tcW w:type="dxa" w:w="45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verification.started</w:t>
            </w:r>
          </w:p>
        </w:tc>
        <w:tc>
          <w:tcPr>
            <w:tcW w:type="dxa" w:w="1400"/>
            <w:tcBorders>
              <w:top w:val="single" w:color="DDDDDD" w:sz="1"/>
              <w:left w:val="single" w:color="DDDDDD" w:sz="1"/>
              <w:bottom w:val="single" w:color="DDDDDD" w:sz="1"/>
              <w:right w:val="single" w:color="DDDDDD" w:sz="1"/>
            </w:tcBorders>
            <w:shd w:fill="E8F0FE" w:val="clear"/>
            <w:tcMar>
              <w:top w:type="dxa" w:w="70"/>
              <w:left w:type="dxa" w:w="80"/>
              <w:bottom w:type="dxa" w:w="70"/>
              <w:right w:type="dxa" w:w="80"/>
            </w:tcMar>
            <w:vAlign w:val="center"/>
          </w:tcPr>
          <w:p>
            <w:pPr>
              <w:jc w:val="center"/>
            </w:pPr>
            <w:r>
              <w:rPr>
                <w:rFonts w:ascii="Arial" w:cs="Arial" w:eastAsia="Arial" w:hAnsi="Arial"/>
                <w:b/>
                <w:bCs/>
                <w:color w:val="0A2463"/>
                <w:sz w:val="15"/>
                <w:szCs w:val="15"/>
              </w:rPr>
              <w:t xml:space="preserve">Applicant</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Client's applicant opened the verification flow</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verification.step_completed</w:t>
            </w:r>
          </w:p>
        </w:tc>
        <w:tc>
          <w:tcPr>
            <w:tcW w:type="dxa" w:w="1400"/>
            <w:tcBorders>
              <w:top w:val="single" w:color="DDDDDD" w:sz="1"/>
              <w:left w:val="single" w:color="DDDDDD" w:sz="1"/>
              <w:bottom w:val="single" w:color="DDDDDD" w:sz="1"/>
              <w:right w:val="single" w:color="DDDDDD" w:sz="1"/>
            </w:tcBorders>
            <w:shd w:fill="E8F0FE" w:val="clear"/>
            <w:tcMar>
              <w:top w:type="dxa" w:w="70"/>
              <w:left w:type="dxa" w:w="80"/>
              <w:bottom w:type="dxa" w:w="70"/>
              <w:right w:type="dxa" w:w="80"/>
            </w:tcMar>
            <w:vAlign w:val="center"/>
          </w:tcPr>
          <w:p>
            <w:pPr>
              <w:jc w:val="center"/>
            </w:pPr>
            <w:r>
              <w:rPr>
                <w:rFonts w:ascii="Arial" w:cs="Arial" w:eastAsia="Arial" w:hAnsi="Arial"/>
                <w:b/>
                <w:bCs/>
                <w:color w:val="0A2463"/>
                <w:sz w:val="15"/>
                <w:szCs w:val="15"/>
              </w:rPr>
              <w:t xml:space="preserve">Applicant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Applicant completed an individual step (document upload, liveness, etc.)</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verification.step_abandoned</w:t>
            </w:r>
          </w:p>
        </w:tc>
        <w:tc>
          <w:tcPr>
            <w:tcW w:type="dxa" w:w="1400"/>
            <w:tcBorders>
              <w:top w:val="single" w:color="DDDDDD" w:sz="1"/>
              <w:left w:val="single" w:color="DDDDDD" w:sz="1"/>
              <w:bottom w:val="single" w:color="DDDDDD" w:sz="1"/>
              <w:right w:val="single" w:color="DDDDDD" w:sz="1"/>
            </w:tcBorders>
            <w:shd w:fill="E8F0FE" w:val="clear"/>
            <w:tcMar>
              <w:top w:type="dxa" w:w="70"/>
              <w:left w:type="dxa" w:w="80"/>
              <w:bottom w:type="dxa" w:w="70"/>
              <w:right w:type="dxa" w:w="80"/>
            </w:tcMar>
            <w:vAlign w:val="center"/>
          </w:tcPr>
          <w:p>
            <w:pPr>
              <w:jc w:val="center"/>
            </w:pPr>
            <w:r>
              <w:rPr>
                <w:rFonts w:ascii="Arial" w:cs="Arial" w:eastAsia="Arial" w:hAnsi="Arial"/>
                <w:b/>
                <w:bCs/>
                <w:color w:val="0A2463"/>
                <w:sz w:val="15"/>
                <w:szCs w:val="15"/>
              </w:rPr>
              <w:t xml:space="preserve">Applicant</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Applicant left the flow at a specific step — includes step name and time spent</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verification.submitted</w:t>
            </w:r>
          </w:p>
        </w:tc>
        <w:tc>
          <w:tcPr>
            <w:tcW w:type="dxa" w:w="1400"/>
            <w:tcBorders>
              <w:top w:val="single" w:color="DDDDDD" w:sz="1"/>
              <w:left w:val="single" w:color="DDDDDD" w:sz="1"/>
              <w:bottom w:val="single" w:color="DDDDDD" w:sz="1"/>
              <w:right w:val="single" w:color="DDDDDD" w:sz="1"/>
            </w:tcBorders>
            <w:shd w:fill="E8F0FE" w:val="clear"/>
            <w:tcMar>
              <w:top w:type="dxa" w:w="70"/>
              <w:left w:type="dxa" w:w="80"/>
              <w:bottom w:type="dxa" w:w="70"/>
              <w:right w:type="dxa" w:w="80"/>
            </w:tcMar>
            <w:vAlign w:val="center"/>
          </w:tcPr>
          <w:p>
            <w:pPr>
              <w:jc w:val="center"/>
            </w:pPr>
            <w:r>
              <w:rPr>
                <w:rFonts w:ascii="Arial" w:cs="Arial" w:eastAsia="Arial" w:hAnsi="Arial"/>
                <w:b/>
                <w:bCs/>
                <w:color w:val="0A2463"/>
                <w:sz w:val="15"/>
                <w:szCs w:val="15"/>
              </w:rPr>
              <w:t xml:space="preserve">Applicant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All documents submitted — verification sent for Sentinel processing</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verification.scan_initiated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Sentinel scan started on a submitted document or liveness check</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verification.scan_completed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Sentinel scan finished — PASS / REVIEW / REJECT result recorded</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verification.review_assigned</w:t>
            </w:r>
          </w:p>
        </w:tc>
        <w:tc>
          <w:tcPr>
            <w:tcW w:type="dxa" w:w="1400"/>
            <w:tcBorders>
              <w:top w:val="single" w:color="DDDDDD" w:sz="1"/>
              <w:left w:val="single" w:color="DDDDDD" w:sz="1"/>
              <w:bottom w:val="single" w:color="DDDDDD" w:sz="1"/>
              <w:right w:val="single" w:color="DDDDDD" w:sz="1"/>
            </w:tcBorders>
            <w:shd w:fill="F3E5F5" w:val="clear"/>
            <w:tcMar>
              <w:top w:type="dxa" w:w="70"/>
              <w:left w:type="dxa" w:w="80"/>
              <w:bottom w:type="dxa" w:w="70"/>
              <w:right w:type="dxa" w:w="80"/>
            </w:tcMar>
            <w:vAlign w:val="center"/>
          </w:tcPr>
          <w:p>
            <w:pPr>
              <w:jc w:val="center"/>
            </w:pPr>
            <w:r>
              <w:rPr>
                <w:rFonts w:ascii="Arial" w:cs="Arial" w:eastAsia="Arial" w:hAnsi="Arial"/>
                <w:b/>
                <w:bCs/>
                <w:color w:val="4A148C"/>
                <w:sz w:val="15"/>
                <w:szCs w:val="15"/>
              </w:rPr>
              <w:t xml:space="preserve">Analyst</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Case assigned to a client's Compliance Analyst</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verification.review_started</w:t>
            </w:r>
          </w:p>
        </w:tc>
        <w:tc>
          <w:tcPr>
            <w:tcW w:type="dxa" w:w="1400"/>
            <w:tcBorders>
              <w:top w:val="single" w:color="DDDDDD" w:sz="1"/>
              <w:left w:val="single" w:color="DDDDDD" w:sz="1"/>
              <w:bottom w:val="single" w:color="DDDDDD" w:sz="1"/>
              <w:right w:val="single" w:color="DDDDDD" w:sz="1"/>
            </w:tcBorders>
            <w:shd w:fill="F3E5F5" w:val="clear"/>
            <w:tcMar>
              <w:top w:type="dxa" w:w="70"/>
              <w:left w:type="dxa" w:w="80"/>
              <w:bottom w:type="dxa" w:w="70"/>
              <w:right w:type="dxa" w:w="80"/>
            </w:tcMar>
            <w:vAlign w:val="center"/>
          </w:tcPr>
          <w:p>
            <w:pPr>
              <w:jc w:val="center"/>
            </w:pPr>
            <w:r>
              <w:rPr>
                <w:rFonts w:ascii="Arial" w:cs="Arial" w:eastAsia="Arial" w:hAnsi="Arial"/>
                <w:b/>
                <w:bCs/>
                <w:color w:val="4A148C"/>
                <w:sz w:val="15"/>
                <w:szCs w:val="15"/>
              </w:rPr>
              <w:t xml:space="preserve">Analyst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Analyst opened the case in the Manual Review Queue</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verification.approved</w:t>
            </w:r>
          </w:p>
        </w:tc>
        <w:tc>
          <w:tcPr>
            <w:tcW w:type="dxa" w:w="1400"/>
            <w:tcBorders>
              <w:top w:val="single" w:color="DDDDDD" w:sz="1"/>
              <w:left w:val="single" w:color="DDDDDD" w:sz="1"/>
              <w:bottom w:val="single" w:color="DDDDDD" w:sz="1"/>
              <w:right w:val="single" w:color="DDDDDD" w:sz="1"/>
            </w:tcBorders>
            <w:shd w:fill="F3E5F5" w:val="clear"/>
            <w:tcMar>
              <w:top w:type="dxa" w:w="70"/>
              <w:left w:type="dxa" w:w="80"/>
              <w:bottom w:type="dxa" w:w="70"/>
              <w:right w:type="dxa" w:w="80"/>
            </w:tcMar>
            <w:vAlign w:val="center"/>
          </w:tcPr>
          <w:p>
            <w:pPr>
              <w:jc w:val="center"/>
            </w:pPr>
            <w:r>
              <w:rPr>
                <w:rFonts w:ascii="Arial" w:cs="Arial" w:eastAsia="Arial" w:hAnsi="Arial"/>
                <w:b/>
                <w:bCs/>
                <w:color w:val="4A148C"/>
                <w:sz w:val="15"/>
                <w:szCs w:val="15"/>
              </w:rPr>
              <w:t xml:space="preserve">Analyst</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Client Compliance Analyst approved the verification</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verification.rejected</w:t>
            </w:r>
          </w:p>
        </w:tc>
        <w:tc>
          <w:tcPr>
            <w:tcW w:type="dxa" w:w="1400"/>
            <w:tcBorders>
              <w:top w:val="single" w:color="DDDDDD" w:sz="1"/>
              <w:left w:val="single" w:color="DDDDDD" w:sz="1"/>
              <w:bottom w:val="single" w:color="DDDDDD" w:sz="1"/>
              <w:right w:val="single" w:color="DDDDDD" w:sz="1"/>
            </w:tcBorders>
            <w:shd w:fill="F3E5F5" w:val="clear"/>
            <w:tcMar>
              <w:top w:type="dxa" w:w="70"/>
              <w:left w:type="dxa" w:w="80"/>
              <w:bottom w:type="dxa" w:w="70"/>
              <w:right w:type="dxa" w:w="80"/>
            </w:tcMar>
            <w:vAlign w:val="center"/>
          </w:tcPr>
          <w:p>
            <w:pPr>
              <w:jc w:val="center"/>
            </w:pPr>
            <w:r>
              <w:rPr>
                <w:rFonts w:ascii="Arial" w:cs="Arial" w:eastAsia="Arial" w:hAnsi="Arial"/>
                <w:b/>
                <w:bCs/>
                <w:color w:val="4A148C"/>
                <w:sz w:val="15"/>
                <w:szCs w:val="15"/>
              </w:rPr>
              <w:t xml:space="preserve">Analyst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Client Compliance Analyst rejected the verification</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verification.escalated</w:t>
            </w:r>
          </w:p>
        </w:tc>
        <w:tc>
          <w:tcPr>
            <w:tcW w:type="dxa" w:w="1400"/>
            <w:tcBorders>
              <w:top w:val="single" w:color="DDDDDD" w:sz="1"/>
              <w:left w:val="single" w:color="DDDDDD" w:sz="1"/>
              <w:bottom w:val="single" w:color="DDDDDD" w:sz="1"/>
              <w:right w:val="single" w:color="DDDDDD" w:sz="1"/>
            </w:tcBorders>
            <w:shd w:fill="F3E5F5" w:val="clear"/>
            <w:tcMar>
              <w:top w:type="dxa" w:w="70"/>
              <w:left w:type="dxa" w:w="80"/>
              <w:bottom w:type="dxa" w:w="70"/>
              <w:right w:type="dxa" w:w="80"/>
            </w:tcMar>
            <w:vAlign w:val="center"/>
          </w:tcPr>
          <w:p>
            <w:pPr>
              <w:jc w:val="center"/>
            </w:pPr>
            <w:r>
              <w:rPr>
                <w:rFonts w:ascii="Arial" w:cs="Arial" w:eastAsia="Arial" w:hAnsi="Arial"/>
                <w:b/>
                <w:bCs/>
                <w:color w:val="4A148C"/>
                <w:sz w:val="15"/>
                <w:szCs w:val="15"/>
              </w:rPr>
              <w:t xml:space="preserve">Analyst</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Case escalated to Client Admin for second sign-off</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verification.expired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Verification not completed within the TTL window</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verification.resubmission_requested</w:t>
            </w:r>
          </w:p>
        </w:tc>
        <w:tc>
          <w:tcPr>
            <w:tcW w:type="dxa" w:w="1400"/>
            <w:tcBorders>
              <w:top w:val="single" w:color="DDDDDD" w:sz="1"/>
              <w:left w:val="single" w:color="DDDDDD" w:sz="1"/>
              <w:bottom w:val="single" w:color="DDDDDD" w:sz="1"/>
              <w:right w:val="single" w:color="DDDDDD" w:sz="1"/>
            </w:tcBorders>
            <w:shd w:fill="F3E5F5" w:val="clear"/>
            <w:tcMar>
              <w:top w:type="dxa" w:w="70"/>
              <w:left w:type="dxa" w:w="80"/>
              <w:bottom w:type="dxa" w:w="70"/>
              <w:right w:type="dxa" w:w="80"/>
            </w:tcMar>
            <w:vAlign w:val="center"/>
          </w:tcPr>
          <w:p>
            <w:pPr>
              <w:jc w:val="center"/>
            </w:pPr>
            <w:r>
              <w:rPr>
                <w:rFonts w:ascii="Arial" w:cs="Arial" w:eastAsia="Arial" w:hAnsi="Arial"/>
                <w:b/>
                <w:bCs/>
                <w:color w:val="4A148C"/>
                <w:sz w:val="15"/>
                <w:szCs w:val="15"/>
              </w:rPr>
              <w:t xml:space="preserve">Analyst</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Analyst requested applicant resubmit a document</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document.upload_started</w:t>
            </w:r>
          </w:p>
        </w:tc>
        <w:tc>
          <w:tcPr>
            <w:tcW w:type="dxa" w:w="1400"/>
            <w:tcBorders>
              <w:top w:val="single" w:color="DDDDDD" w:sz="1"/>
              <w:left w:val="single" w:color="DDDDDD" w:sz="1"/>
              <w:bottom w:val="single" w:color="DDDDDD" w:sz="1"/>
              <w:right w:val="single" w:color="DDDDDD" w:sz="1"/>
            </w:tcBorders>
            <w:shd w:fill="E8F0FE" w:val="clear"/>
            <w:tcMar>
              <w:top w:type="dxa" w:w="70"/>
              <w:left w:type="dxa" w:w="80"/>
              <w:bottom w:type="dxa" w:w="70"/>
              <w:right w:type="dxa" w:w="80"/>
            </w:tcMar>
            <w:vAlign w:val="center"/>
          </w:tcPr>
          <w:p>
            <w:pPr>
              <w:jc w:val="center"/>
            </w:pPr>
            <w:r>
              <w:rPr>
                <w:rFonts w:ascii="Arial" w:cs="Arial" w:eastAsia="Arial" w:hAnsi="Arial"/>
                <w:b/>
                <w:bCs/>
                <w:color w:val="0A2463"/>
                <w:sz w:val="15"/>
                <w:szCs w:val="15"/>
              </w:rPr>
              <w:t xml:space="preserve">Applicant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Applicant began file selection</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document.upload_completed</w:t>
            </w:r>
          </w:p>
        </w:tc>
        <w:tc>
          <w:tcPr>
            <w:tcW w:type="dxa" w:w="1400"/>
            <w:tcBorders>
              <w:top w:val="single" w:color="DDDDDD" w:sz="1"/>
              <w:left w:val="single" w:color="DDDDDD" w:sz="1"/>
              <w:bottom w:val="single" w:color="DDDDDD" w:sz="1"/>
              <w:right w:val="single" w:color="DDDDDD" w:sz="1"/>
            </w:tcBorders>
            <w:shd w:fill="E8F0FE" w:val="clear"/>
            <w:tcMar>
              <w:top w:type="dxa" w:w="70"/>
              <w:left w:type="dxa" w:w="80"/>
              <w:bottom w:type="dxa" w:w="70"/>
              <w:right w:type="dxa" w:w="80"/>
            </w:tcMar>
            <w:vAlign w:val="center"/>
          </w:tcPr>
          <w:p>
            <w:pPr>
              <w:jc w:val="center"/>
            </w:pPr>
            <w:r>
              <w:rPr>
                <w:rFonts w:ascii="Arial" w:cs="Arial" w:eastAsia="Arial" w:hAnsi="Arial"/>
                <w:b/>
                <w:bCs/>
                <w:color w:val="0A2463"/>
                <w:sz w:val="15"/>
                <w:szCs w:val="15"/>
              </w:rPr>
              <w:t xml:space="preserve">Applicant</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File successfully uploaded to storage</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document.upload_failed</w:t>
            </w:r>
          </w:p>
        </w:tc>
        <w:tc>
          <w:tcPr>
            <w:tcW w:type="dxa" w:w="1400"/>
            <w:tcBorders>
              <w:top w:val="single" w:color="DDDDDD" w:sz="1"/>
              <w:left w:val="single" w:color="DDDDDD" w:sz="1"/>
              <w:bottom w:val="single" w:color="DDDDDD" w:sz="1"/>
              <w:right w:val="single" w:color="DDDDDD" w:sz="1"/>
            </w:tcBorders>
            <w:shd w:fill="E8F0FE" w:val="clear"/>
            <w:tcMar>
              <w:top w:type="dxa" w:w="70"/>
              <w:left w:type="dxa" w:w="80"/>
              <w:bottom w:type="dxa" w:w="70"/>
              <w:right w:type="dxa" w:w="80"/>
            </w:tcMar>
            <w:vAlign w:val="center"/>
          </w:tcPr>
          <w:p>
            <w:pPr>
              <w:jc w:val="center"/>
            </w:pPr>
            <w:r>
              <w:rPr>
                <w:rFonts w:ascii="Arial" w:cs="Arial" w:eastAsia="Arial" w:hAnsi="Arial"/>
                <w:b/>
                <w:bCs/>
                <w:color w:val="0A2463"/>
                <w:sz w:val="15"/>
                <w:szCs w:val="15"/>
              </w:rPr>
              <w:t xml:space="preserve">Applicant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Upload failed — error code and file metadata captured</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document.scan_passed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Sentinel returned PASS on this document</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document.scan_flagged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Sentinel returned REVIEW — flag list captured</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document.scan_rejected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Sentinel returned REJECT — deepfake confirmed</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liveness.capture_started</w:t>
            </w:r>
          </w:p>
        </w:tc>
        <w:tc>
          <w:tcPr>
            <w:tcW w:type="dxa" w:w="1400"/>
            <w:tcBorders>
              <w:top w:val="single" w:color="DDDDDD" w:sz="1"/>
              <w:left w:val="single" w:color="DDDDDD" w:sz="1"/>
              <w:bottom w:val="single" w:color="DDDDDD" w:sz="1"/>
              <w:right w:val="single" w:color="DDDDDD" w:sz="1"/>
            </w:tcBorders>
            <w:shd w:fill="E8F0FE" w:val="clear"/>
            <w:tcMar>
              <w:top w:type="dxa" w:w="70"/>
              <w:left w:type="dxa" w:w="80"/>
              <w:bottom w:type="dxa" w:w="70"/>
              <w:right w:type="dxa" w:w="80"/>
            </w:tcMar>
            <w:vAlign w:val="center"/>
          </w:tcPr>
          <w:p>
            <w:pPr>
              <w:jc w:val="center"/>
            </w:pPr>
            <w:r>
              <w:rPr>
                <w:rFonts w:ascii="Arial" w:cs="Arial" w:eastAsia="Arial" w:hAnsi="Arial"/>
                <w:b/>
                <w:bCs/>
                <w:color w:val="0A2463"/>
                <w:sz w:val="15"/>
                <w:szCs w:val="15"/>
              </w:rPr>
              <w:t xml:space="preserve">Applicant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Liveness capture flow opened</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liveness.capture_completed</w:t>
            </w:r>
          </w:p>
        </w:tc>
        <w:tc>
          <w:tcPr>
            <w:tcW w:type="dxa" w:w="1400"/>
            <w:tcBorders>
              <w:top w:val="single" w:color="DDDDDD" w:sz="1"/>
              <w:left w:val="single" w:color="DDDDDD" w:sz="1"/>
              <w:bottom w:val="single" w:color="DDDDDD" w:sz="1"/>
              <w:right w:val="single" w:color="DDDDDD" w:sz="1"/>
            </w:tcBorders>
            <w:shd w:fill="E8F0FE" w:val="clear"/>
            <w:tcMar>
              <w:top w:type="dxa" w:w="70"/>
              <w:left w:type="dxa" w:w="80"/>
              <w:bottom w:type="dxa" w:w="70"/>
              <w:right w:type="dxa" w:w="80"/>
            </w:tcMar>
            <w:vAlign w:val="center"/>
          </w:tcPr>
          <w:p>
            <w:pPr>
              <w:jc w:val="center"/>
            </w:pPr>
            <w:r>
              <w:rPr>
                <w:rFonts w:ascii="Arial" w:cs="Arial" w:eastAsia="Arial" w:hAnsi="Arial"/>
                <w:b/>
                <w:bCs/>
                <w:color w:val="0A2463"/>
                <w:sz w:val="15"/>
                <w:szCs w:val="15"/>
              </w:rPr>
              <w:t xml:space="preserve">Applicant</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Video or photo capture completed and submitted</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liveness.capture_failed</w:t>
            </w:r>
          </w:p>
        </w:tc>
        <w:tc>
          <w:tcPr>
            <w:tcW w:type="dxa" w:w="1400"/>
            <w:tcBorders>
              <w:top w:val="single" w:color="DDDDDD" w:sz="1"/>
              <w:left w:val="single" w:color="DDDDDD" w:sz="1"/>
              <w:bottom w:val="single" w:color="DDDDDD" w:sz="1"/>
              <w:right w:val="single" w:color="DDDDDD" w:sz="1"/>
            </w:tcBorders>
            <w:shd w:fill="E8F0FE" w:val="clear"/>
            <w:tcMar>
              <w:top w:type="dxa" w:w="70"/>
              <w:left w:type="dxa" w:w="80"/>
              <w:bottom w:type="dxa" w:w="70"/>
              <w:right w:type="dxa" w:w="80"/>
            </w:tcMar>
            <w:vAlign w:val="center"/>
          </w:tcPr>
          <w:p>
            <w:pPr>
              <w:jc w:val="center"/>
            </w:pPr>
            <w:r>
              <w:rPr>
                <w:rFonts w:ascii="Arial" w:cs="Arial" w:eastAsia="Arial" w:hAnsi="Arial"/>
                <w:b/>
                <w:bCs/>
                <w:color w:val="0A2463"/>
                <w:sz w:val="15"/>
                <w:szCs w:val="15"/>
              </w:rPr>
              <w:t xml:space="preserve">Applicant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Capture failed — camera error, timeout, or applicant abort</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liveness.scan_passed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Sentinel liveness scan returned PASS</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liveness.scan_flagged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Sentinel liveness scan returned REVIEW</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liveness.scan_rejected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Sentinel liveness scan returned REJECT</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api.request</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Inbound API request from client's system — endpoint, latency, status code</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api.rate_limit_hit</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Client's API key exceeded rate limit</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api.key_created</w:t>
            </w:r>
          </w:p>
        </w:tc>
        <w:tc>
          <w:tcPr>
            <w:tcW w:type="dxa" w:w="14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vAlign w:val="center"/>
          </w:tcPr>
          <w:p>
            <w:pPr>
              <w:jc w:val="center"/>
            </w:pPr>
            <w:r>
              <w:rPr>
                <w:rFonts w:ascii="Arial" w:cs="Arial" w:eastAsia="Arial" w:hAnsi="Arial"/>
                <w:b/>
                <w:bCs/>
                <w:color w:val="2E7D32"/>
                <w:sz w:val="15"/>
                <w:szCs w:val="15"/>
              </w:rPr>
              <w:t xml:space="preserve">Client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Client Admin created a new API key</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api.key_revoked</w:t>
            </w:r>
          </w:p>
        </w:tc>
        <w:tc>
          <w:tcPr>
            <w:tcW w:type="dxa" w:w="14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vAlign w:val="center"/>
          </w:tcPr>
          <w:p>
            <w:pPr>
              <w:jc w:val="center"/>
            </w:pPr>
            <w:r>
              <w:rPr>
                <w:rFonts w:ascii="Arial" w:cs="Arial" w:eastAsia="Arial" w:hAnsi="Arial"/>
                <w:b/>
                <w:bCs/>
                <w:color w:val="2E7D32"/>
                <w:sz w:val="15"/>
                <w:szCs w:val="15"/>
              </w:rPr>
              <w:t xml:space="preserve">Client</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Client Admin revoked an API key</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api.error</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API request returned 4xx or 5xx from client's key</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webhook.delivered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Webhook payload delivered to client's endpoint successfully</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webhook.failed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Webhook delivery failed — HTTP status and response body captured</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webhook.retry_exhausted</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All retry attempts failed — webhook dead</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auth.login</w:t>
            </w:r>
          </w:p>
        </w:tc>
        <w:tc>
          <w:tcPr>
            <w:tcW w:type="dxa" w:w="14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vAlign w:val="center"/>
          </w:tcPr>
          <w:p>
            <w:pPr>
              <w:jc w:val="center"/>
            </w:pPr>
            <w:r>
              <w:rPr>
                <w:rFonts w:ascii="Arial" w:cs="Arial" w:eastAsia="Arial" w:hAnsi="Arial"/>
                <w:b/>
                <w:bCs/>
                <w:color w:val="2E7D32"/>
                <w:sz w:val="15"/>
                <w:szCs w:val="15"/>
              </w:rPr>
              <w:t xml:space="preserve">Client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Client team member logged into the portal</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auth.login_failed</w:t>
            </w:r>
          </w:p>
        </w:tc>
        <w:tc>
          <w:tcPr>
            <w:tcW w:type="dxa" w:w="14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vAlign w:val="center"/>
          </w:tcPr>
          <w:p>
            <w:pPr>
              <w:jc w:val="center"/>
            </w:pPr>
            <w:r>
              <w:rPr>
                <w:rFonts w:ascii="Arial" w:cs="Arial" w:eastAsia="Arial" w:hAnsi="Arial"/>
                <w:b/>
                <w:bCs/>
                <w:color w:val="2E7D32"/>
                <w:sz w:val="15"/>
                <w:szCs w:val="15"/>
              </w:rPr>
              <w:t xml:space="preserve">Client</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Failed login attempt on the client portal</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auth.role_changed</w:t>
            </w:r>
          </w:p>
        </w:tc>
        <w:tc>
          <w:tcPr>
            <w:tcW w:type="dxa" w:w="1400"/>
            <w:tcBorders>
              <w:top w:val="single" w:color="DDDDDD" w:sz="1"/>
              <w:left w:val="single" w:color="DDDDDD" w:sz="1"/>
              <w:bottom w:val="single" w:color="DDDDDD" w:sz="1"/>
              <w:right w:val="single" w:color="DDDDDD" w:sz="1"/>
            </w:tcBorders>
            <w:shd w:fill="E8F5E9" w:val="clear"/>
            <w:tcMar>
              <w:top w:type="dxa" w:w="70"/>
              <w:left w:type="dxa" w:w="80"/>
              <w:bottom w:type="dxa" w:w="70"/>
              <w:right w:type="dxa" w:w="80"/>
            </w:tcMar>
            <w:vAlign w:val="center"/>
          </w:tcPr>
          <w:p>
            <w:pPr>
              <w:jc w:val="center"/>
            </w:pPr>
            <w:r>
              <w:rPr>
                <w:rFonts w:ascii="Arial" w:cs="Arial" w:eastAsia="Arial" w:hAnsi="Arial"/>
                <w:b/>
                <w:bCs/>
                <w:color w:val="2E7D32"/>
                <w:sz w:val="15"/>
                <w:szCs w:val="15"/>
              </w:rPr>
              <w:t xml:space="preserve">Client</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Client Admin updated a team member's role</w:t>
            </w:r>
          </w:p>
        </w:tc>
      </w:tr>
      <w:tr>
        <w:tc>
          <w:tcPr>
            <w:tcW w:type="dxa" w:w="340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Courier New" w:cs="Courier New" w:eastAsia="Courier New" w:hAnsi="Courier New"/>
                <w:color w:val="00695C"/>
                <w:sz w:val="15"/>
                <w:szCs w:val="15"/>
              </w:rPr>
              <w:t xml:space="preserve">system.error</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5F7FA" w:val="clear"/>
            <w:tcMar>
              <w:top w:type="dxa" w:w="70"/>
              <w:left w:type="dxa" w:w="110"/>
              <w:bottom w:type="dxa" w:w="70"/>
              <w:right w:type="dxa" w:w="110"/>
            </w:tcMar>
          </w:tcPr>
          <w:p>
            <w:r>
              <w:rPr>
                <w:rFonts w:ascii="Arial" w:cs="Arial" w:eastAsia="Arial" w:hAnsi="Arial"/>
                <w:color w:val="1A1A2E"/>
                <w:sz w:val="15"/>
                <w:szCs w:val="15"/>
              </w:rPr>
              <w:t xml:space="preserve">Unhandled exception — includes stack trace hash and service name</w:t>
            </w:r>
          </w:p>
        </w:tc>
      </w:tr>
      <w:t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Courier New" w:cs="Courier New" w:eastAsia="Courier New" w:hAnsi="Courier New"/>
                <w:color w:val="00695C"/>
                <w:sz w:val="15"/>
                <w:szCs w:val="15"/>
              </w:rPr>
              <w:t xml:space="preserve">system.latency_alert</w:t>
            </w:r>
          </w:p>
        </w:tc>
        <w:tc>
          <w:tcPr>
            <w:tcW w:type="dxa" w:w="1400"/>
            <w:tcBorders>
              <w:top w:val="single" w:color="DDDDDD" w:sz="1"/>
              <w:left w:val="single" w:color="DDDDDD" w:sz="1"/>
              <w:bottom w:val="single" w:color="DDDDDD" w:sz="1"/>
              <w:right w:val="single" w:color="DDDDDD" w:sz="1"/>
            </w:tcBorders>
            <w:shd w:fill="E0F2F1" w:val="clear"/>
            <w:tcMar>
              <w:top w:type="dxa" w:w="70"/>
              <w:left w:type="dxa" w:w="80"/>
              <w:bottom w:type="dxa" w:w="70"/>
              <w:right w:type="dxa" w:w="80"/>
            </w:tcMar>
            <w:vAlign w:val="center"/>
          </w:tcPr>
          <w:p>
            <w:pPr>
              <w:jc w:val="center"/>
            </w:pPr>
            <w:r>
              <w:rPr>
                <w:rFonts w:ascii="Arial" w:cs="Arial" w:eastAsia="Arial" w:hAnsi="Arial"/>
                <w:b/>
                <w:bCs/>
                <w:color w:val="00695C"/>
                <w:sz w:val="15"/>
                <w:szCs w:val="15"/>
              </w:rPr>
              <w:t xml:space="preserve">System</w:t>
            </w:r>
          </w:p>
        </w:tc>
        <w:tc>
          <w:tcPr>
            <w:tcW w:type="dxa" w:w="4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r>
              <w:rPr>
                <w:rFonts w:ascii="Arial" w:cs="Arial" w:eastAsia="Arial" w:hAnsi="Arial"/>
                <w:color w:val="1A1A2E"/>
                <w:sz w:val="15"/>
                <w:szCs w:val="15"/>
              </w:rPr>
              <w:t xml:space="preserve">API or scan latency exceeded the configured threshold</w:t>
            </w:r>
          </w:p>
        </w:tc>
      </w:tr>
    </w:tbl>
    <w:p>
      <w:pPr>
        <w:spacing w:after="0" w:before="200"/>
      </w:pPr>
      <w:r>
        <w:t xml:space="preserve"/>
      </w:r>
    </w:p>
    <w:p>
      <w:pPr>
        <w:spacing w:after="120" w:before="280"/>
      </w:pPr>
      <w:r>
        <w:rPr>
          <w:rFonts w:ascii="Arial" w:cs="Arial" w:eastAsia="Arial" w:hAnsi="Arial"/>
          <w:b/>
          <w:bCs/>
          <w:color w:val="0A2463"/>
          <w:sz w:val="22"/>
          <w:szCs w:val="22"/>
        </w:rPr>
        <w:t xml:space="preserve">2.3  Base Event Schema</w:t>
      </w:r>
    </w:p>
    <w:p>
      <w:pPr>
        <w:spacing w:after="80" w:before="80" w:line="340"/>
      </w:pPr>
      <w:r>
        <w:rPr>
          <w:rFonts w:ascii="Arial" w:cs="Arial" w:eastAsia="Arial" w:hAnsi="Arial"/>
          <w:color w:val="1A1A2E"/>
          <w:sz w:val="19"/>
          <w:szCs w:val="19"/>
        </w:rPr>
        <w:t xml:space="preserve">Every event shares this base schema regardless of type. The org_id field on every event is the key to multi-tenant data isolation — it ensures client analytics are always scoped to a single organisation.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Field</w:t>
            </w:r>
          </w:p>
        </w:tc>
        <w:tc>
          <w:tcPr>
            <w:tcW w:type="dxa" w:w="14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Type</w:t>
            </w:r>
          </w:p>
        </w:tc>
        <w:tc>
          <w:tcPr>
            <w:tcW w:type="dxa" w:w="57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Description</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event_id</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UUID v4 — unique identifier for this event</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event_type</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Namespaced event string — e.g. verification.approved</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event_version</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Schema version — e.g. '1.0'. Allows backward-compatible evolution.</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timestamp</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timestamp</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ISO 8601 with milliseconds</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actor_type</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enum</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applicant | analyst | client_admin | client_developer | system</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actor_id</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ID of the entity that triggered the event (null for system events)</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session_id</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Session ID — links events within a single applicant or client session</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org_id</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Client organisation ID — all events scoped per client for isolation</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environment</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enum</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production | staging | sandbox</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source</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Service that emitted the event — e.g. sentinel-api, kyc-flow, webhook-service</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trace_id</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string</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Distributed tracing ID — links related events across services</w:t>
            </w:r>
          </w:p>
        </w:tc>
      </w:tr>
      <w:tr>
        <w:tc>
          <w:tcPr>
            <w:tcW w:type="dxa" w:w="22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Courier New" w:cs="Courier New" w:eastAsia="Courier New" w:hAnsi="Courier New"/>
                <w:color w:val="00695C"/>
                <w:sz w:val="16"/>
                <w:szCs w:val="16"/>
              </w:rPr>
              <w:t xml:space="preserve">properties</w:t>
            </w:r>
          </w:p>
        </w:tc>
        <w:tc>
          <w:tcPr>
            <w:tcW w:type="dxa" w:w="140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object</w:t>
            </w:r>
          </w:p>
        </w:tc>
        <w:tc>
          <w:tcPr>
            <w:tcW w:type="dxa" w:w="5760"/>
            <w:tcBorders>
              <w:top w:val="single" w:color="DDDDDD" w:sz="1"/>
              <w:left w:val="single" w:color="DDDDDD" w:sz="1"/>
              <w:bottom w:val="single" w:color="DDDDDD" w:sz="1"/>
              <w:right w:val="single" w:color="DDDDDD" w:sz="1"/>
            </w:tcBorders>
            <w:shd w:fill="FFFFFF" w:val="clear"/>
            <w:tcMar>
              <w:top w:type="dxa" w:w="75"/>
              <w:left w:type="dxa" w:w="110"/>
              <w:bottom w:type="dxa" w:w="75"/>
              <w:right w:type="dxa" w:w="110"/>
            </w:tcMar>
          </w:tcPr>
          <w:p>
            <w:r>
              <w:rPr>
                <w:rFonts w:ascii="Arial" w:cs="Arial" w:eastAsia="Arial" w:hAnsi="Arial"/>
                <w:color w:val="1A1A2E"/>
                <w:sz w:val="16"/>
                <w:szCs w:val="16"/>
              </w:rPr>
              <w:t xml:space="preserve">Event-specific payload — see Section 2.4</w:t>
            </w:r>
          </w:p>
        </w:tc>
      </w:tr>
      <w:tr>
        <w:tc>
          <w:tcPr>
            <w:tcW w:type="dxa" w:w="22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Courier New" w:cs="Courier New" w:eastAsia="Courier New" w:hAnsi="Courier New"/>
                <w:color w:val="00695C"/>
                <w:sz w:val="16"/>
                <w:szCs w:val="16"/>
              </w:rPr>
              <w:t xml:space="preserve">context</w:t>
            </w:r>
          </w:p>
        </w:tc>
        <w:tc>
          <w:tcPr>
            <w:tcW w:type="dxa" w:w="140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vAlign w:val="center"/>
          </w:tcPr>
          <w:p>
            <w:pPr>
              <w:jc w:val="center"/>
            </w:pPr>
            <w:r>
              <w:rPr>
                <w:rFonts w:ascii="Arial" w:cs="Arial" w:eastAsia="Arial" w:hAnsi="Arial"/>
                <w:color w:val="4A4A6A"/>
                <w:sz w:val="16"/>
                <w:szCs w:val="16"/>
              </w:rPr>
              <w:t xml:space="preserve">object</w:t>
            </w:r>
          </w:p>
        </w:tc>
        <w:tc>
          <w:tcPr>
            <w:tcW w:type="dxa" w:w="5760"/>
            <w:tcBorders>
              <w:top w:val="single" w:color="DDDDDD" w:sz="1"/>
              <w:left w:val="single" w:color="DDDDDD" w:sz="1"/>
              <w:bottom w:val="single" w:color="DDDDDD" w:sz="1"/>
              <w:right w:val="single" w:color="DDDDDD" w:sz="1"/>
            </w:tcBorders>
            <w:shd w:fill="E0F2F1" w:val="clear"/>
            <w:tcMar>
              <w:top w:type="dxa" w:w="75"/>
              <w:left w:type="dxa" w:w="110"/>
              <w:bottom w:type="dxa" w:w="75"/>
              <w:right w:type="dxa" w:w="110"/>
            </w:tcMar>
          </w:tcPr>
          <w:p>
            <w:r>
              <w:rPr>
                <w:rFonts w:ascii="Arial" w:cs="Arial" w:eastAsia="Arial" w:hAnsi="Arial"/>
                <w:color w:val="1A1A2E"/>
                <w:sz w:val="16"/>
                <w:szCs w:val="16"/>
              </w:rPr>
              <w:t xml:space="preserve">Device, browser, IP, geolocation, user agent</w:t>
            </w:r>
          </w:p>
        </w:tc>
      </w:tr>
    </w:tbl>
    <w:p>
      <w:pPr>
        <w:spacing w:after="0" w:before="200"/>
      </w:pPr>
      <w:r>
        <w:t xml:space="preserve"/>
      </w:r>
    </w:p>
    <w:p>
      <w:pPr>
        <w:spacing w:after="120" w:before="280"/>
      </w:pPr>
      <w:r>
        <w:rPr>
          <w:rFonts w:ascii="Arial" w:cs="Arial" w:eastAsia="Arial" w:hAnsi="Arial"/>
          <w:b/>
          <w:bCs/>
          <w:color w:val="0A2463"/>
          <w:sz w:val="22"/>
          <w:szCs w:val="22"/>
        </w:rPr>
        <w:t xml:space="preserve">2.4  Key Metrics Derived from Events</w:t>
      </w:r>
    </w:p>
    <w:p>
      <w:pPr>
        <w:spacing w:after="80" w:before="80" w:line="340"/>
      </w:pPr>
      <w:r>
        <w:rPr>
          <w:rFonts w:ascii="Arial" w:cs="Arial" w:eastAsia="Arial" w:hAnsi="Arial"/>
          <w:color w:val="1A1A2E"/>
          <w:sz w:val="19"/>
          <w:szCs w:val="19"/>
        </w:rPr>
        <w:t xml:space="preserve">These metrics are surfaced in the client's dashboard and in Deeptrack's cross-client platform analytics. All client-facing metrics are filtered by org_id.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c>
          <w:tcPr>
            <w:tcW w:type="dxa" w:w="28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Metric</w:t>
            </w:r>
          </w:p>
        </w:tc>
        <w:tc>
          <w:tcPr>
            <w:tcW w:type="dxa" w:w="27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Derived From</w:t>
            </w:r>
          </w:p>
        </w:tc>
        <w:tc>
          <w:tcPr>
            <w:tcW w:type="dxa" w:w="38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Value to Client</w:t>
            </w:r>
          </w:p>
        </w:tc>
      </w:tr>
      <w:tr>
        <w:tc>
          <w:tcPr>
            <w:tcW w:type="dxa" w:w="2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b/>
                <w:bCs/>
                <w:color w:val="00695C"/>
                <w:sz w:val="16"/>
                <w:szCs w:val="16"/>
              </w:rPr>
              <w:t xml:space="preserve">Verification funnel drop-off by step</w:t>
            </w:r>
          </w:p>
        </w:tc>
        <w:tc>
          <w:tcPr>
            <w:tcW w:type="dxa" w:w="276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Courier New" w:cs="Courier New" w:eastAsia="Courier New" w:hAnsi="Courier New"/>
                <w:color w:val="4A4A6A"/>
                <w:sz w:val="14"/>
                <w:szCs w:val="14"/>
              </w:rPr>
              <w:t xml:space="preserve">verification.step_abandoned</w:t>
            </w:r>
          </w:p>
        </w:tc>
        <w:tc>
          <w:tcPr>
            <w:tcW w:type="dxa" w:w="3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color w:val="1A1A2E"/>
                <w:sz w:val="16"/>
                <w:szCs w:val="16"/>
              </w:rPr>
              <w:t xml:space="preserve">Shows exactly where applicants abandon — client UX fix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0695C"/>
                <w:sz w:val="16"/>
                <w:szCs w:val="16"/>
              </w:rPr>
              <w:t xml:space="preserve">Median time to complete verification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Courier New" w:cs="Courier New" w:eastAsia="Courier New" w:hAnsi="Courier New"/>
                <w:color w:val="4A4A6A"/>
                <w:sz w:val="14"/>
                <w:szCs w:val="14"/>
              </w:rPr>
              <w:t xml:space="preserve">verification.started → submitted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Client benchmark for applicant onboarding experience</w:t>
            </w:r>
          </w:p>
        </w:tc>
      </w:tr>
      <w:tr>
        <w:tc>
          <w:tcPr>
            <w:tcW w:type="dxa" w:w="2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b/>
                <w:bCs/>
                <w:color w:val="00695C"/>
                <w:sz w:val="16"/>
                <w:szCs w:val="16"/>
              </w:rPr>
              <w:t xml:space="preserve">Sentinel scan accuracy trend</w:t>
            </w:r>
          </w:p>
        </w:tc>
        <w:tc>
          <w:tcPr>
            <w:tcW w:type="dxa" w:w="276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Courier New" w:cs="Courier New" w:eastAsia="Courier New" w:hAnsi="Courier New"/>
                <w:color w:val="4A4A6A"/>
                <w:sz w:val="14"/>
                <w:szCs w:val="14"/>
              </w:rPr>
              <w:t xml:space="preserve">scan_completed + approved/rejected</w:t>
            </w:r>
          </w:p>
        </w:tc>
        <w:tc>
          <w:tcPr>
            <w:tcW w:type="dxa" w:w="3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color w:val="1A1A2E"/>
                <w:sz w:val="16"/>
                <w:szCs w:val="16"/>
              </w:rPr>
              <w:t xml:space="preserve">Track model drift over time — product quality signal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0695C"/>
                <w:sz w:val="16"/>
                <w:szCs w:val="16"/>
              </w:rPr>
              <w:t xml:space="preserve">Manual review rate per client org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Courier New" w:cs="Courier New" w:eastAsia="Courier New" w:hAnsi="Courier New"/>
                <w:color w:val="4A4A6A"/>
                <w:sz w:val="14"/>
                <w:szCs w:val="14"/>
              </w:rPr>
              <w:t xml:space="preserve">scan_flagged / scan_completed by org_id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Which clients need better applicant guidance</w:t>
            </w:r>
          </w:p>
        </w:tc>
      </w:tr>
      <w:tr>
        <w:tc>
          <w:tcPr>
            <w:tcW w:type="dxa" w:w="2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b/>
                <w:bCs/>
                <w:color w:val="00695C"/>
                <w:sz w:val="16"/>
                <w:szCs w:val="16"/>
              </w:rPr>
              <w:t xml:space="preserve">Average manual review duration</w:t>
            </w:r>
          </w:p>
        </w:tc>
        <w:tc>
          <w:tcPr>
            <w:tcW w:type="dxa" w:w="276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Courier New" w:cs="Courier New" w:eastAsia="Courier New" w:hAnsi="Courier New"/>
                <w:color w:val="4A4A6A"/>
                <w:sz w:val="14"/>
                <w:szCs w:val="14"/>
              </w:rPr>
              <w:t xml:space="preserve">review_started → approved/rejected</w:t>
            </w:r>
          </w:p>
        </w:tc>
        <w:tc>
          <w:tcPr>
            <w:tcW w:type="dxa" w:w="3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color w:val="1A1A2E"/>
                <w:sz w:val="16"/>
                <w:szCs w:val="16"/>
              </w:rPr>
              <w:t xml:space="preserve">Helps clients size their compliance team correctly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0695C"/>
                <w:sz w:val="16"/>
                <w:szCs w:val="16"/>
              </w:rPr>
              <w:t xml:space="preserve">Document upload failure rate by type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Courier New" w:cs="Courier New" w:eastAsia="Courier New" w:hAnsi="Courier New"/>
                <w:color w:val="4A4A6A"/>
                <w:sz w:val="14"/>
                <w:szCs w:val="14"/>
              </w:rPr>
              <w:t xml:space="preserve">upload_failed / upload_completed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Identifies problem document types in client's UX</w:t>
            </w:r>
          </w:p>
        </w:tc>
      </w:tr>
      <w:tr>
        <w:tc>
          <w:tcPr>
            <w:tcW w:type="dxa" w:w="2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b/>
                <w:bCs/>
                <w:color w:val="00695C"/>
                <w:sz w:val="16"/>
                <w:szCs w:val="16"/>
              </w:rPr>
              <w:t xml:space="preserve">Liveness capture failure rate</w:t>
            </w:r>
          </w:p>
        </w:tc>
        <w:tc>
          <w:tcPr>
            <w:tcW w:type="dxa" w:w="276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Courier New" w:cs="Courier New" w:eastAsia="Courier New" w:hAnsi="Courier New"/>
                <w:color w:val="4A4A6A"/>
                <w:sz w:val="14"/>
                <w:szCs w:val="14"/>
              </w:rPr>
              <w:t xml:space="preserve">liveness.capture_failed</w:t>
            </w:r>
          </w:p>
        </w:tc>
        <w:tc>
          <w:tcPr>
            <w:tcW w:type="dxa" w:w="3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color w:val="1A1A2E"/>
                <w:sz w:val="16"/>
                <w:szCs w:val="16"/>
              </w:rPr>
              <w:t xml:space="preserve">Camera or device issues — client support action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0695C"/>
                <w:sz w:val="16"/>
                <w:szCs w:val="16"/>
              </w:rPr>
              <w:t xml:space="preserve">API latency p50 / p95 / p99</w:t>
            </w:r>
          </w:p>
        </w:tc>
        <w:tc>
          <w:tcPr>
            <w:tcW w:type="dxa" w:w="2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Courier New" w:cs="Courier New" w:eastAsia="Courier New" w:hAnsi="Courier New"/>
                <w:color w:val="4A4A6A"/>
                <w:sz w:val="14"/>
                <w:szCs w:val="14"/>
              </w:rPr>
              <w:t xml:space="preserve">api.request latency_ms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SLA compliance — surface in client dashboard</w:t>
            </w:r>
          </w:p>
        </w:tc>
      </w:tr>
      <w:tr>
        <w:tc>
          <w:tcPr>
            <w:tcW w:type="dxa" w:w="2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b/>
                <w:bCs/>
                <w:color w:val="00695C"/>
                <w:sz w:val="16"/>
                <w:szCs w:val="16"/>
              </w:rPr>
              <w:t xml:space="preserve">API error rate by endpoint per client</w:t>
            </w:r>
          </w:p>
        </w:tc>
        <w:tc>
          <w:tcPr>
            <w:tcW w:type="dxa" w:w="276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Courier New" w:cs="Courier New" w:eastAsia="Courier New" w:hAnsi="Courier New"/>
                <w:color w:val="4A4A6A"/>
                <w:sz w:val="14"/>
                <w:szCs w:val="14"/>
              </w:rPr>
              <w:t xml:space="preserve">api.error / api.request by org_id</w:t>
            </w:r>
          </w:p>
        </w:tc>
        <w:tc>
          <w:tcPr>
            <w:tcW w:type="dxa" w:w="3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color w:val="1A1A2E"/>
                <w:sz w:val="16"/>
                <w:szCs w:val="16"/>
              </w:rPr>
              <w:t xml:space="preserve">Per-client integration health monitoring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0695C"/>
                <w:sz w:val="16"/>
                <w:szCs w:val="16"/>
              </w:rPr>
              <w:t xml:space="preserve">Webhook delivery success rate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Courier New" w:cs="Courier New" w:eastAsia="Courier New" w:hAnsi="Courier New"/>
                <w:color w:val="4A4A6A"/>
                <w:sz w:val="14"/>
                <w:szCs w:val="14"/>
              </w:rPr>
              <w:t xml:space="preserve">webhook.delivered vs failed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Critical for enterprise API clients' operational trust</w:t>
            </w:r>
          </w:p>
        </w:tc>
      </w:tr>
      <w:tr>
        <w:tc>
          <w:tcPr>
            <w:tcW w:type="dxa" w:w="2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b/>
                <w:bCs/>
                <w:color w:val="00695C"/>
                <w:sz w:val="16"/>
                <w:szCs w:val="16"/>
              </w:rPr>
              <w:t xml:space="preserve">Peak verification hours per client</w:t>
            </w:r>
          </w:p>
        </w:tc>
        <w:tc>
          <w:tcPr>
            <w:tcW w:type="dxa" w:w="276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Courier New" w:cs="Courier New" w:eastAsia="Courier New" w:hAnsi="Courier New"/>
                <w:color w:val="4A4A6A"/>
                <w:sz w:val="14"/>
                <w:szCs w:val="14"/>
              </w:rPr>
              <w:t xml:space="preserve">verification.started by org_id</w:t>
            </w:r>
          </w:p>
        </w:tc>
        <w:tc>
          <w:tcPr>
            <w:tcW w:type="dxa" w:w="3800"/>
            <w:tcBorders>
              <w:top w:val="single" w:color="DDDDDD" w:sz="1"/>
              <w:left w:val="single" w:color="DDDDDD" w:sz="1"/>
              <w:bottom w:val="single" w:color="DDDDDD" w:sz="1"/>
              <w:right w:val="single" w:color="DDDDDD" w:sz="1"/>
            </w:tcBorders>
            <w:shd w:fill="E0F2F1" w:val="clear"/>
            <w:tcMar>
              <w:top w:type="dxa" w:w="80"/>
              <w:left w:type="dxa" w:w="110"/>
              <w:bottom w:type="dxa" w:w="80"/>
              <w:right w:type="dxa" w:w="110"/>
            </w:tcMar>
          </w:tcPr>
          <w:p>
            <w:r>
              <w:rPr>
                <w:rFonts w:ascii="Arial" w:cs="Arial" w:eastAsia="Arial" w:hAnsi="Arial"/>
                <w:color w:val="1A1A2E"/>
                <w:sz w:val="16"/>
                <w:szCs w:val="16"/>
              </w:rPr>
              <w:t xml:space="preserve">Helps clients staff their compliance review team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00695C"/>
                <w:sz w:val="16"/>
                <w:szCs w:val="16"/>
              </w:rPr>
              <w:t xml:space="preserve">Conversion rate per client org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Courier New" w:cs="Courier New" w:eastAsia="Courier New" w:hAnsi="Courier New"/>
                <w:color w:val="4A4A6A"/>
                <w:sz w:val="14"/>
                <w:szCs w:val="14"/>
              </w:rPr>
              <w:t xml:space="preserve">started → approved by org_id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Core health metric for each paying client</w:t>
            </w:r>
          </w:p>
        </w:tc>
      </w:tr>
    </w:tbl>
    <w:p>
      <w:pPr>
        <w:spacing w:after="0" w:before="200"/>
      </w:pPr>
      <w:r>
        <w:t xml:space="preserve"/>
      </w:r>
    </w:p>
    <w:p>
      <w:pPr>
        <w:spacing w:after="120" w:before="280"/>
      </w:pPr>
      <w:r>
        <w:rPr>
          <w:rFonts w:ascii="Arial" w:cs="Arial" w:eastAsia="Arial" w:hAnsi="Arial"/>
          <w:b/>
          <w:bCs/>
          <w:color w:val="0A2463"/>
          <w:sz w:val="22"/>
          <w:szCs w:val="22"/>
        </w:rPr>
        <w:t xml:space="preserve">2.5  Alert Rules</w:t>
      </w:r>
    </w:p>
    <w:p>
      <w:pPr>
        <w:spacing w:after="80" w:before="80" w:line="340"/>
      </w:pPr>
      <w:r>
        <w:rPr>
          <w:rFonts w:ascii="Arial" w:cs="Arial" w:eastAsia="Arial" w:hAnsi="Arial"/>
          <w:color w:val="1A1A2E"/>
          <w:sz w:val="19"/>
          <w:szCs w:val="19"/>
        </w:rPr>
        <w:t xml:space="preserve">Alerts notify the right person at the right time. Client-facing alerts go to the Client Admin. Platform-level alerts go to Deeptrack ops. Clients configure their own notification preferences (email, Slack, webhook) from within the portal.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560"/>
        <w:gridCol w:w="2600"/>
      </w:tblGrid>
      <w:tr>
        <w:tc>
          <w:tcPr>
            <w:tcW w:type="dxa" w:w="28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Alert</w:t>
            </w:r>
          </w:p>
        </w:tc>
        <w:tc>
          <w:tcPr>
            <w:tcW w:type="dxa" w:w="24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Trigger</w:t>
            </w:r>
          </w:p>
        </w:tc>
        <w:tc>
          <w:tcPr>
            <w:tcW w:type="dxa" w:w="156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Severity</w:t>
            </w:r>
          </w:p>
        </w:tc>
        <w:tc>
          <w:tcPr>
            <w:tcW w:type="dxa" w:w="2600"/>
            <w:tcBorders>
              <w:top w:val="single" w:color="DDDDDD" w:sz="1"/>
              <w:left w:val="single" w:color="DDDDDD" w:sz="1"/>
              <w:bottom w:val="single" w:color="DDDDDD" w:sz="1"/>
              <w:right w:val="single" w:color="DDDDDD" w:sz="1"/>
            </w:tcBorders>
            <w:shd w:fill="0A2463" w:val="clear"/>
            <w:tcMar>
              <w:top w:type="dxa" w:w="80"/>
              <w:left w:type="dxa" w:w="110"/>
              <w:bottom w:type="dxa" w:w="80"/>
              <w:right w:type="dxa" w:w="110"/>
            </w:tcMar>
          </w:tcPr>
          <w:p>
            <w:r>
              <w:rPr>
                <w:rFonts w:ascii="Arial" w:cs="Arial" w:eastAsia="Arial" w:hAnsi="Arial"/>
                <w:b/>
                <w:bCs/>
                <w:color w:val="FFFFFF"/>
                <w:sz w:val="17"/>
                <w:szCs w:val="17"/>
              </w:rPr>
              <w:t xml:space="preserve">Notify</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b/>
                <w:bCs/>
                <w:color w:val="1A1A2E"/>
                <w:sz w:val="16"/>
                <w:szCs w:val="16"/>
              </w:rPr>
              <w:t xml:space="preserve">High rejection rate spike</w:t>
            </w:r>
          </w:p>
        </w:tc>
        <w:tc>
          <w:tcPr>
            <w:tcW w:type="dxa" w:w="24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color w:val="4A4A6A"/>
                <w:sz w:val="16"/>
                <w:szCs w:val="16"/>
              </w:rPr>
              <w:t xml:space="preserve">&gt; 10% rejection in 1 hour</w:t>
            </w:r>
          </w:p>
        </w:tc>
        <w:tc>
          <w:tcPr>
            <w:tcW w:type="dxa" w:w="1560"/>
            <w:tcBorders>
              <w:top w:val="single" w:color="DDDDDD" w:sz="1"/>
              <w:left w:val="single" w:color="DDDDDD" w:sz="1"/>
              <w:bottom w:val="single" w:color="DDDDDD" w:sz="1"/>
              <w:right w:val="single" w:color="DDDDDD" w:sz="1"/>
            </w:tcBorders>
            <w:shd w:fill="FFEBEE" w:val="clear"/>
            <w:tcMar>
              <w:top w:type="dxa" w:w="80"/>
              <w:left w:type="dxa" w:w="80"/>
              <w:bottom w:type="dxa" w:w="80"/>
              <w:right w:type="dxa" w:w="80"/>
            </w:tcMar>
            <w:vAlign w:val="center"/>
          </w:tcPr>
          <w:p>
            <w:pPr>
              <w:jc w:val="center"/>
            </w:pPr>
            <w:r>
              <w:rPr>
                <w:rFonts w:ascii="Arial" w:cs="Arial" w:eastAsia="Arial" w:hAnsi="Arial"/>
                <w:b/>
                <w:bCs/>
                <w:color w:val="C62828"/>
                <w:sz w:val="16"/>
                <w:szCs w:val="16"/>
              </w:rPr>
              <w:t xml:space="preserve">Critical</w:t>
            </w:r>
          </w:p>
        </w:tc>
        <w:tc>
          <w:tcPr>
            <w:tcW w:type="dxa" w:w="26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color w:val="1A1A2E"/>
                <w:sz w:val="16"/>
                <w:szCs w:val="16"/>
              </w:rPr>
              <w:t xml:space="preserve">Client Admin + Deeptrack Support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A1A2E"/>
                <w:sz w:val="16"/>
                <w:szCs w:val="16"/>
              </w:rPr>
              <w:t xml:space="preserve">Review queue backlog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4A4A6A"/>
                <w:sz w:val="16"/>
                <w:szCs w:val="16"/>
              </w:rPr>
              <w:t xml:space="preserve">&gt; 20 cases unreviewed &gt; 2 hours</w:t>
            </w:r>
          </w:p>
        </w:tc>
        <w:tc>
          <w:tcPr>
            <w:tcW w:type="dxa" w:w="1560"/>
            <w:tcBorders>
              <w:top w:val="single" w:color="DDDDDD" w:sz="1"/>
              <w:left w:val="single" w:color="DDDDDD" w:sz="1"/>
              <w:bottom w:val="single" w:color="DDDDDD" w:sz="1"/>
              <w:right w:val="single" w:color="DDDDDD"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High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Client Admin</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b/>
                <w:bCs/>
                <w:color w:val="1A1A2E"/>
                <w:sz w:val="16"/>
                <w:szCs w:val="16"/>
              </w:rPr>
              <w:t xml:space="preserve">API latency degradation</w:t>
            </w:r>
          </w:p>
        </w:tc>
        <w:tc>
          <w:tcPr>
            <w:tcW w:type="dxa" w:w="24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color w:val="4A4A6A"/>
                <w:sz w:val="16"/>
                <w:szCs w:val="16"/>
              </w:rPr>
              <w:t xml:space="preserve">p95 latency &gt; 3 seconds</w:t>
            </w:r>
          </w:p>
        </w:tc>
        <w:tc>
          <w:tcPr>
            <w:tcW w:type="dxa" w:w="1560"/>
            <w:tcBorders>
              <w:top w:val="single" w:color="DDDDDD" w:sz="1"/>
              <w:left w:val="single" w:color="DDDDDD" w:sz="1"/>
              <w:bottom w:val="single" w:color="DDDDDD" w:sz="1"/>
              <w:right w:val="single" w:color="DDDDDD"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High</w:t>
            </w:r>
          </w:p>
        </w:tc>
        <w:tc>
          <w:tcPr>
            <w:tcW w:type="dxa" w:w="26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color w:val="1A1A2E"/>
                <w:sz w:val="16"/>
                <w:szCs w:val="16"/>
              </w:rPr>
              <w:t xml:space="preserve">Deeptrack Ops + Client Developer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A1A2E"/>
                <w:sz w:val="16"/>
                <w:szCs w:val="16"/>
              </w:rPr>
              <w:t xml:space="preserve">Webhook delivery failures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4A4A6A"/>
                <w:sz w:val="16"/>
                <w:szCs w:val="16"/>
              </w:rPr>
              <w:t xml:space="preserve">&gt; 5 failed deliveries in 30 minutes</w:t>
            </w:r>
          </w:p>
        </w:tc>
        <w:tc>
          <w:tcPr>
            <w:tcW w:type="dxa" w:w="1560"/>
            <w:tcBorders>
              <w:top w:val="single" w:color="DDDDDD" w:sz="1"/>
              <w:left w:val="single" w:color="DDDDDD" w:sz="1"/>
              <w:bottom w:val="single" w:color="DDDDDD" w:sz="1"/>
              <w:right w:val="single" w:color="DDDDDD"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High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Client Admin + Client Developer</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b/>
                <w:bCs/>
                <w:color w:val="1A1A2E"/>
                <w:sz w:val="16"/>
                <w:szCs w:val="16"/>
              </w:rPr>
              <w:t xml:space="preserve">Liveness failure surge</w:t>
            </w:r>
          </w:p>
        </w:tc>
        <w:tc>
          <w:tcPr>
            <w:tcW w:type="dxa" w:w="24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color w:val="4A4A6A"/>
                <w:sz w:val="16"/>
                <w:szCs w:val="16"/>
              </w:rPr>
              <w:t xml:space="preserve">&gt; 15% failure rate in 1 hour</w:t>
            </w:r>
          </w:p>
        </w:tc>
        <w:tc>
          <w:tcPr>
            <w:tcW w:type="dxa" w:w="1560"/>
            <w:tcBorders>
              <w:top w:val="single" w:color="DDDDDD" w:sz="1"/>
              <w:left w:val="single" w:color="DDDDDD" w:sz="1"/>
              <w:bottom w:val="single" w:color="DDDDDD" w:sz="1"/>
              <w:right w:val="single" w:color="DDDDDD" w:sz="1"/>
            </w:tcBorders>
            <w:shd w:fill="FFFDE7" w:val="clear"/>
            <w:tcMar>
              <w:top w:type="dxa" w:w="80"/>
              <w:left w:type="dxa" w:w="80"/>
              <w:bottom w:type="dxa" w:w="80"/>
              <w:right w:type="dxa" w:w="80"/>
            </w:tcMar>
            <w:vAlign w:val="center"/>
          </w:tcPr>
          <w:p>
            <w:pPr>
              <w:jc w:val="center"/>
            </w:pPr>
            <w:r>
              <w:rPr>
                <w:rFonts w:ascii="Arial" w:cs="Arial" w:eastAsia="Arial" w:hAnsi="Arial"/>
                <w:b/>
                <w:bCs/>
                <w:color w:val="F9A825"/>
                <w:sz w:val="16"/>
                <w:szCs w:val="16"/>
              </w:rPr>
              <w:t xml:space="preserve">Medium</w:t>
            </w:r>
          </w:p>
        </w:tc>
        <w:tc>
          <w:tcPr>
            <w:tcW w:type="dxa" w:w="26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color w:val="1A1A2E"/>
                <w:sz w:val="16"/>
                <w:szCs w:val="16"/>
              </w:rPr>
              <w:t xml:space="preserve">Client Admin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A1A2E"/>
                <w:sz w:val="16"/>
                <w:szCs w:val="16"/>
              </w:rPr>
              <w:t xml:space="preserve">Document upload failure spike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4A4A6A"/>
                <w:sz w:val="16"/>
                <w:szCs w:val="16"/>
              </w:rPr>
              <w:t xml:space="preserve">&gt; 10% failure rate in 1 hour</w:t>
            </w:r>
          </w:p>
        </w:tc>
        <w:tc>
          <w:tcPr>
            <w:tcW w:type="dxa" w:w="1560"/>
            <w:tcBorders>
              <w:top w:val="single" w:color="DDDDDD" w:sz="1"/>
              <w:left w:val="single" w:color="DDDDDD" w:sz="1"/>
              <w:bottom w:val="single" w:color="DDDDDD" w:sz="1"/>
              <w:right w:val="single" w:color="DDDDDD" w:sz="1"/>
            </w:tcBorders>
            <w:shd w:fill="FFFDE7" w:val="clear"/>
            <w:tcMar>
              <w:top w:type="dxa" w:w="80"/>
              <w:left w:type="dxa" w:w="80"/>
              <w:bottom w:type="dxa" w:w="80"/>
              <w:right w:type="dxa" w:w="80"/>
            </w:tcMar>
            <w:vAlign w:val="center"/>
          </w:tcPr>
          <w:p>
            <w:pPr>
              <w:jc w:val="center"/>
            </w:pPr>
            <w:r>
              <w:rPr>
                <w:rFonts w:ascii="Arial" w:cs="Arial" w:eastAsia="Arial" w:hAnsi="Arial"/>
                <w:b/>
                <w:bCs/>
                <w:color w:val="F9A825"/>
                <w:sz w:val="16"/>
                <w:szCs w:val="16"/>
              </w:rPr>
              <w:t xml:space="preserve">Medium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Client Admin</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b/>
                <w:bCs/>
                <w:color w:val="1A1A2E"/>
                <w:sz w:val="16"/>
                <w:szCs w:val="16"/>
              </w:rPr>
              <w:t xml:space="preserve">API error rate increase</w:t>
            </w:r>
          </w:p>
        </w:tc>
        <w:tc>
          <w:tcPr>
            <w:tcW w:type="dxa" w:w="24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color w:val="4A4A6A"/>
                <w:sz w:val="16"/>
                <w:szCs w:val="16"/>
              </w:rPr>
              <w:t xml:space="preserve">&gt; 2% errors on any endpoint</w:t>
            </w:r>
          </w:p>
        </w:tc>
        <w:tc>
          <w:tcPr>
            <w:tcW w:type="dxa" w:w="1560"/>
            <w:tcBorders>
              <w:top w:val="single" w:color="DDDDDD" w:sz="1"/>
              <w:left w:val="single" w:color="DDDDDD" w:sz="1"/>
              <w:bottom w:val="single" w:color="DDDDDD" w:sz="1"/>
              <w:right w:val="single" w:color="DDDDDD" w:sz="1"/>
            </w:tcBorders>
            <w:shd w:fill="FFFDE7" w:val="clear"/>
            <w:tcMar>
              <w:top w:type="dxa" w:w="80"/>
              <w:left w:type="dxa" w:w="80"/>
              <w:bottom w:type="dxa" w:w="80"/>
              <w:right w:type="dxa" w:w="80"/>
            </w:tcMar>
            <w:vAlign w:val="center"/>
          </w:tcPr>
          <w:p>
            <w:pPr>
              <w:jc w:val="center"/>
            </w:pPr>
            <w:r>
              <w:rPr>
                <w:rFonts w:ascii="Arial" w:cs="Arial" w:eastAsia="Arial" w:hAnsi="Arial"/>
                <w:b/>
                <w:bCs/>
                <w:color w:val="F9A825"/>
                <w:sz w:val="16"/>
                <w:szCs w:val="16"/>
              </w:rPr>
              <w:t xml:space="preserve">Medium</w:t>
            </w:r>
          </w:p>
        </w:tc>
        <w:tc>
          <w:tcPr>
            <w:tcW w:type="dxa" w:w="26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color w:val="1A1A2E"/>
                <w:sz w:val="16"/>
                <w:szCs w:val="16"/>
              </w:rPr>
              <w:t xml:space="preserve">Client Developer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A1A2E"/>
                <w:sz w:val="16"/>
                <w:szCs w:val="16"/>
              </w:rPr>
              <w:t xml:space="preserve">Sentinel score distribution shift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4A4A6A"/>
                <w:sz w:val="16"/>
                <w:szCs w:val="16"/>
              </w:rPr>
              <w:t xml:space="preserve">Mean score shifts &gt; 5% in 24 hours</w:t>
            </w:r>
          </w:p>
        </w:tc>
        <w:tc>
          <w:tcPr>
            <w:tcW w:type="dxa" w:w="1560"/>
            <w:tcBorders>
              <w:top w:val="single" w:color="DDDDDD" w:sz="1"/>
              <w:left w:val="single" w:color="DDDDDD" w:sz="1"/>
              <w:bottom w:val="single" w:color="DDDDDD" w:sz="1"/>
              <w:right w:val="single" w:color="DDDDDD" w:sz="1"/>
            </w:tcBorders>
            <w:shd w:fill="FFFDE7" w:val="clear"/>
            <w:tcMar>
              <w:top w:type="dxa" w:w="80"/>
              <w:left w:type="dxa" w:w="80"/>
              <w:bottom w:type="dxa" w:w="80"/>
              <w:right w:type="dxa" w:w="80"/>
            </w:tcMar>
            <w:vAlign w:val="center"/>
          </w:tcPr>
          <w:p>
            <w:pPr>
              <w:jc w:val="center"/>
            </w:pPr>
            <w:r>
              <w:rPr>
                <w:rFonts w:ascii="Arial" w:cs="Arial" w:eastAsia="Arial" w:hAnsi="Arial"/>
                <w:b/>
                <w:bCs/>
                <w:color w:val="F9A825"/>
                <w:sz w:val="16"/>
                <w:szCs w:val="16"/>
              </w:rPr>
              <w:t xml:space="preserve">Medium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Deeptrack Ops</w:t>
            </w:r>
          </w:p>
        </w:tc>
      </w:tr>
      <w:tr>
        <w:tc>
          <w:tcPr>
            <w:tcW w:type="dxa" w:w="28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b/>
                <w:bCs/>
                <w:color w:val="1A1A2E"/>
                <w:sz w:val="16"/>
                <w:szCs w:val="16"/>
              </w:rPr>
              <w:t xml:space="preserve">Unusual login to client portal</w:t>
            </w:r>
          </w:p>
        </w:tc>
        <w:tc>
          <w:tcPr>
            <w:tcW w:type="dxa" w:w="24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color w:val="4A4A6A"/>
                <w:sz w:val="16"/>
                <w:szCs w:val="16"/>
              </w:rPr>
              <w:t xml:space="preserve">5+ failed logins or new country login</w:t>
            </w:r>
          </w:p>
        </w:tc>
        <w:tc>
          <w:tcPr>
            <w:tcW w:type="dxa" w:w="1560"/>
            <w:tcBorders>
              <w:top w:val="single" w:color="DDDDDD" w:sz="1"/>
              <w:left w:val="single" w:color="DDDDDD" w:sz="1"/>
              <w:bottom w:val="single" w:color="DDDDDD" w:sz="1"/>
              <w:right w:val="single" w:color="DDDDDD"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6"/>
                <w:szCs w:val="16"/>
              </w:rPr>
              <w:t xml:space="preserve">High</w:t>
            </w:r>
          </w:p>
        </w:tc>
        <w:tc>
          <w:tcPr>
            <w:tcW w:type="dxa" w:w="2600"/>
            <w:tcBorders>
              <w:top w:val="single" w:color="DDDDDD" w:sz="1"/>
              <w:left w:val="single" w:color="DDDDDD" w:sz="1"/>
              <w:bottom w:val="single" w:color="DDDDDD" w:sz="1"/>
              <w:right w:val="single" w:color="DDDDDD" w:sz="1"/>
            </w:tcBorders>
            <w:shd w:fill="F5F7FA" w:val="clear"/>
            <w:tcMar>
              <w:top w:type="dxa" w:w="80"/>
              <w:left w:type="dxa" w:w="110"/>
              <w:bottom w:type="dxa" w:w="80"/>
              <w:right w:type="dxa" w:w="110"/>
            </w:tcMar>
          </w:tcPr>
          <w:p>
            <w:r>
              <w:rPr>
                <w:rFonts w:ascii="Arial" w:cs="Arial" w:eastAsia="Arial" w:hAnsi="Arial"/>
                <w:color w:val="1A1A2E"/>
                <w:sz w:val="16"/>
                <w:szCs w:val="16"/>
              </w:rPr>
              <w:t xml:space="preserve">Client Admin + Deeptrack Support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bCs/>
                <w:color w:val="1A1A2E"/>
                <w:sz w:val="16"/>
                <w:szCs w:val="16"/>
              </w:rPr>
              <w:t xml:space="preserve">Scan credit threshold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4A4A6A"/>
                <w:sz w:val="16"/>
                <w:szCs w:val="16"/>
              </w:rPr>
              <w:t xml:space="preserve">Client org at 80% of monthly scan quota</w:t>
            </w:r>
          </w:p>
        </w:tc>
        <w:tc>
          <w:tcPr>
            <w:tcW w:type="dxa" w:w="1560"/>
            <w:tcBorders>
              <w:top w:val="single" w:color="DDDDDD" w:sz="1"/>
              <w:left w:val="single" w:color="DDDDDD" w:sz="1"/>
              <w:bottom w:val="single" w:color="DDDDDD" w:sz="1"/>
              <w:right w:val="single" w:color="DDDDDD" w:sz="1"/>
            </w:tcBorders>
            <w:shd w:fill="E8F5E9" w:val="clear"/>
            <w:tcMar>
              <w:top w:type="dxa" w:w="80"/>
              <w:left w:type="dxa" w:w="80"/>
              <w:bottom w:type="dxa" w:w="80"/>
              <w:right w:type="dxa" w:w="80"/>
            </w:tcMar>
            <w:vAlign w:val="center"/>
          </w:tcPr>
          <w:p>
            <w:pPr>
              <w:jc w:val="center"/>
            </w:pPr>
            <w:r>
              <w:rPr>
                <w:rFonts w:ascii="Arial" w:cs="Arial" w:eastAsia="Arial" w:hAnsi="Arial"/>
                <w:b/>
                <w:bCs/>
                <w:color w:val="2E7D32"/>
                <w:sz w:val="16"/>
                <w:szCs w:val="16"/>
              </w:rPr>
              <w:t xml:space="preserve">Low</w:t>
            </w:r>
          </w:p>
        </w:tc>
        <w:tc>
          <w:tcPr>
            <w:tcW w:type="dxa" w:w="2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color w:val="1A1A2E"/>
                <w:sz w:val="16"/>
                <w:szCs w:val="16"/>
              </w:rPr>
              <w:t xml:space="preserve">Client Admin</w:t>
            </w:r>
          </w:p>
        </w:tc>
      </w:tr>
    </w:tbl>
    <w:p>
      <w:pPr>
        <w:spacing w:after="0" w:before="200"/>
      </w:pPr>
      <w:r>
        <w:t xml:space="preserve"/>
      </w:r>
    </w:p>
    <w:p>
      <w:pPr>
        <w:spacing w:after="120" w:before="280"/>
      </w:pPr>
      <w:r>
        <w:rPr>
          <w:rFonts w:ascii="Arial" w:cs="Arial" w:eastAsia="Arial" w:hAnsi="Arial"/>
          <w:b/>
          <w:bCs/>
          <w:color w:val="0A2463"/>
          <w:sz w:val="22"/>
          <w:szCs w:val="22"/>
        </w:rPr>
        <w:t xml:space="preserve">2.6  Implementation Guide — Sage &amp; Ian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95C" w:sz="10"/>
              <w:bottom w:val="none" w:color="FFFFFF" w:sz="0"/>
              <w:right w:val="none" w:color="FFFFFF" w:sz="0"/>
            </w:tcBorders>
            <w:shd w:fill="E0F2F1" w:val="clear"/>
            <w:tcMar>
              <w:top w:type="dxa" w:w="120"/>
              <w:left w:type="dxa" w:w="240"/>
              <w:bottom w:type="dxa" w:w="120"/>
              <w:right w:type="dxa" w:w="240"/>
            </w:tcMar>
          </w:tcPr>
          <w:p>
            <w:r>
              <w:rPr>
                <w:rFonts w:ascii="Arial" w:cs="Arial" w:eastAsia="Arial" w:hAnsi="Arial"/>
                <w:color w:val="00695C"/>
                <w:sz w:val="18"/>
                <w:szCs w:val="18"/>
              </w:rPr>
              <w:t xml:space="preserve">Use PostHog self-hosted on your existing AWS/GCP setup. Free, open source, gives you funnels, session replays, and per-org dashboards out of the box. Do not build custom analytics infrastructure from scratch — instrument first, query later.</w:t>
            </w:r>
          </w:p>
        </w:tc>
      </w:tr>
    </w:tbl>
    <w:p>
      <w:pPr>
        <w:spacing w:after="0" w:before="120"/>
      </w:pPr>
      <w:r>
        <w:t xml:space="preserve"/>
      </w:r>
    </w:p>
    <w:p>
      <w:pPr>
        <w:spacing w:after="80" w:before="200"/>
      </w:pPr>
      <w:r>
        <w:rPr>
          <w:rFonts w:ascii="Arial" w:cs="Arial" w:eastAsia="Arial" w:hAnsi="Arial"/>
          <w:b/>
          <w:bCs/>
          <w:color w:val="1E88E5"/>
          <w:sz w:val="20"/>
          <w:szCs w:val="20"/>
        </w:rPr>
        <w:t xml:space="preserve">Step 1 — Install &amp; Initialise (Ian — Frontend)</w:t>
      </w:r>
    </w:p>
    <w:p>
      <w:pPr>
        <w:pStyle w:val="ListParagraph"/>
        <w:numPr>
          <w:ilvl w:val="0"/>
          <w:numId w:val="2"/>
        </w:numPr>
        <w:spacing w:after="55" w:before="55"/>
      </w:pPr>
      <w:r>
        <w:rPr>
          <w:rFonts w:ascii="Arial" w:cs="Arial" w:eastAsia="Arial" w:hAnsi="Arial"/>
          <w:b w:val="false"/>
          <w:bCs w:val="false"/>
          <w:color w:val="1A1A2E"/>
          <w:sz w:val="18"/>
          <w:szCs w:val="18"/>
        </w:rPr>
        <w:t xml:space="preserve">npm install posthog-js in the React app</w:t>
      </w:r>
    </w:p>
    <w:p>
      <w:pPr>
        <w:pStyle w:val="ListParagraph"/>
        <w:numPr>
          <w:ilvl w:val="0"/>
          <w:numId w:val="2"/>
        </w:numPr>
        <w:spacing w:after="55" w:before="55"/>
      </w:pPr>
      <w:r>
        <w:rPr>
          <w:rFonts w:ascii="Arial" w:cs="Arial" w:eastAsia="Arial" w:hAnsi="Arial"/>
          <w:b w:val="false"/>
          <w:bCs w:val="false"/>
          <w:color w:val="1A1A2E"/>
          <w:sz w:val="18"/>
          <w:szCs w:val="18"/>
        </w:rPr>
        <w:t xml:space="preserve">Initialise PostHog with your self-hosted instance URL and the client's org_id as a super property</w:t>
      </w:r>
    </w:p>
    <w:p>
      <w:pPr>
        <w:pStyle w:val="ListParagraph"/>
        <w:numPr>
          <w:ilvl w:val="0"/>
          <w:numId w:val="2"/>
        </w:numPr>
        <w:spacing w:after="55" w:before="55"/>
      </w:pPr>
      <w:r>
        <w:rPr>
          <w:rFonts w:ascii="Arial" w:cs="Arial" w:eastAsia="Arial" w:hAnsi="Arial"/>
          <w:b w:val="false"/>
          <w:bCs w:val="false"/>
          <w:color w:val="1A1A2E"/>
          <w:sz w:val="18"/>
          <w:szCs w:val="18"/>
        </w:rPr>
        <w:t xml:space="preserve">Identify the client user on login: posthog.identify(user_id, { org_id, role })</w:t>
      </w:r>
    </w:p>
    <w:p>
      <w:pPr>
        <w:pStyle w:val="ListParagraph"/>
        <w:numPr>
          <w:ilvl w:val="0"/>
          <w:numId w:val="2"/>
        </w:numPr>
        <w:spacing w:after="55" w:before="55"/>
      </w:pPr>
      <w:r>
        <w:rPr>
          <w:rFonts w:ascii="Arial" w:cs="Arial" w:eastAsia="Arial" w:hAnsi="Arial"/>
          <w:b w:val="false"/>
          <w:bCs w:val="false"/>
          <w:color w:val="1A1A2E"/>
          <w:sz w:val="18"/>
          <w:szCs w:val="18"/>
        </w:rPr>
        <w:t xml:space="preserve">Identify the applicant at flow start: posthog.identify(session_id, { org_id, type: 'applicant' })</w:t>
      </w:r>
    </w:p>
    <w:p>
      <w:pPr>
        <w:spacing w:after="0" w:before="80"/>
      </w:pPr>
      <w:r>
        <w:t xml:space="preserve"/>
      </w:r>
    </w:p>
    <w:p>
      <w:pPr>
        <w:spacing w:after="80" w:before="200"/>
      </w:pPr>
      <w:r>
        <w:rPr>
          <w:rFonts w:ascii="Arial" w:cs="Arial" w:eastAsia="Arial" w:hAnsi="Arial"/>
          <w:b/>
          <w:bCs/>
          <w:color w:val="1E88E5"/>
          <w:sz w:val="20"/>
          <w:szCs w:val="20"/>
        </w:rPr>
        <w:t xml:space="preserve">Step 2 — Instrument the Applicant Verification Funnel (Ian — Frontend)</w:t>
      </w:r>
    </w:p>
    <w:p>
      <w:pPr>
        <w:pStyle w:val="ListParagraph"/>
        <w:numPr>
          <w:ilvl w:val="0"/>
          <w:numId w:val="2"/>
        </w:numPr>
        <w:spacing w:after="55" w:before="55"/>
      </w:pPr>
      <w:r>
        <w:rPr>
          <w:rFonts w:ascii="Arial" w:cs="Arial" w:eastAsia="Arial" w:hAnsi="Arial"/>
          <w:b w:val="false"/>
          <w:bCs w:val="false"/>
          <w:color w:val="1A1A2E"/>
          <w:sz w:val="18"/>
          <w:szCs w:val="18"/>
        </w:rPr>
        <w:t xml:space="preserve">posthog.capture('verification.started', { type, org_id, flow_version }) when the flow opens</w:t>
      </w:r>
    </w:p>
    <w:p>
      <w:pPr>
        <w:pStyle w:val="ListParagraph"/>
        <w:numPr>
          <w:ilvl w:val="0"/>
          <w:numId w:val="2"/>
        </w:numPr>
        <w:spacing w:after="55" w:before="55"/>
      </w:pPr>
      <w:r>
        <w:rPr>
          <w:rFonts w:ascii="Arial" w:cs="Arial" w:eastAsia="Arial" w:hAnsi="Arial"/>
          <w:b w:val="false"/>
          <w:bCs w:val="false"/>
          <w:color w:val="1A1A2E"/>
          <w:sz w:val="18"/>
          <w:szCs w:val="18"/>
        </w:rPr>
        <w:t xml:space="preserve">posthog.capture('verification.step_completed', { step_name, step_index, time_on_step_ms }) on each step advance</w:t>
      </w:r>
    </w:p>
    <w:p>
      <w:pPr>
        <w:pStyle w:val="ListParagraph"/>
        <w:numPr>
          <w:ilvl w:val="0"/>
          <w:numId w:val="2"/>
        </w:numPr>
        <w:spacing w:after="55" w:before="55"/>
      </w:pPr>
      <w:r>
        <w:rPr>
          <w:rFonts w:ascii="Arial" w:cs="Arial" w:eastAsia="Arial" w:hAnsi="Arial"/>
          <w:b w:val="false"/>
          <w:bCs w:val="false"/>
          <w:color w:val="1A1A2E"/>
          <w:sz w:val="18"/>
          <w:szCs w:val="18"/>
        </w:rPr>
        <w:t xml:space="preserve">posthog.capture('verification.step_abandoned') on browser unload or step timeout — this is the drop-off signal</w:t>
      </w:r>
    </w:p>
    <w:p>
      <w:pPr>
        <w:pStyle w:val="ListParagraph"/>
        <w:numPr>
          <w:ilvl w:val="0"/>
          <w:numId w:val="2"/>
        </w:numPr>
        <w:spacing w:after="55" w:before="55"/>
      </w:pPr>
      <w:r>
        <w:rPr>
          <w:rFonts w:ascii="Arial" w:cs="Arial" w:eastAsia="Arial" w:hAnsi="Arial"/>
          <w:b w:val="false"/>
          <w:bCs w:val="false"/>
          <w:color w:val="1A1A2E"/>
          <w:sz w:val="18"/>
          <w:szCs w:val="18"/>
        </w:rPr>
        <w:t xml:space="preserve">posthog.capture('document.upload_failed') and liveness.capture_failed in all error handlers</w:t>
      </w:r>
    </w:p>
    <w:p>
      <w:pPr>
        <w:spacing w:after="0" w:before="80"/>
      </w:pPr>
      <w:r>
        <w:t xml:space="preserve"/>
      </w:r>
    </w:p>
    <w:p>
      <w:pPr>
        <w:spacing w:after="80" w:before="200"/>
      </w:pPr>
      <w:r>
        <w:rPr>
          <w:rFonts w:ascii="Arial" w:cs="Arial" w:eastAsia="Arial" w:hAnsi="Arial"/>
          <w:b/>
          <w:bCs/>
          <w:color w:val="1E88E5"/>
          <w:sz w:val="20"/>
          <w:szCs w:val="20"/>
        </w:rPr>
        <w:t xml:space="preserve">Step 3 — Server-Side Events (Sage — Convex Backend)</w:t>
      </w:r>
    </w:p>
    <w:p>
      <w:pPr>
        <w:pStyle w:val="ListParagraph"/>
        <w:numPr>
          <w:ilvl w:val="0"/>
          <w:numId w:val="2"/>
        </w:numPr>
        <w:spacing w:after="55" w:before="55"/>
      </w:pPr>
      <w:r>
        <w:rPr>
          <w:rFonts w:ascii="Arial" w:cs="Arial" w:eastAsia="Arial" w:hAnsi="Arial"/>
          <w:b w:val="false"/>
          <w:bCs w:val="false"/>
          <w:color w:val="1A1A2E"/>
          <w:sz w:val="18"/>
          <w:szCs w:val="18"/>
        </w:rPr>
        <w:t xml:space="preserve">Emit verification.scan_completed from the Sentinel API response handler — include sentinel_score, outcome, flags[], org_id</w:t>
      </w:r>
    </w:p>
    <w:p>
      <w:pPr>
        <w:pStyle w:val="ListParagraph"/>
        <w:numPr>
          <w:ilvl w:val="0"/>
          <w:numId w:val="2"/>
        </w:numPr>
        <w:spacing w:after="55" w:before="55"/>
      </w:pPr>
      <w:r>
        <w:rPr>
          <w:rFonts w:ascii="Arial" w:cs="Arial" w:eastAsia="Arial" w:hAnsi="Arial"/>
          <w:b w:val="false"/>
          <w:bCs w:val="false"/>
          <w:color w:val="1A1A2E"/>
          <w:sz w:val="18"/>
          <w:szCs w:val="18"/>
        </w:rPr>
        <w:t xml:space="preserve">Emit verification.approved / rejected from the review decision mutation — include reviewer_id, review_duration_ms, org_id</w:t>
      </w:r>
    </w:p>
    <w:p>
      <w:pPr>
        <w:pStyle w:val="ListParagraph"/>
        <w:numPr>
          <w:ilvl w:val="0"/>
          <w:numId w:val="2"/>
        </w:numPr>
        <w:spacing w:after="55" w:before="55"/>
      </w:pPr>
      <w:r>
        <w:rPr>
          <w:rFonts w:ascii="Arial" w:cs="Arial" w:eastAsia="Arial" w:hAnsi="Arial"/>
          <w:b w:val="false"/>
          <w:bCs w:val="false"/>
          <w:color w:val="1A1A2E"/>
          <w:sz w:val="18"/>
          <w:szCs w:val="18"/>
        </w:rPr>
        <w:t xml:space="preserve">Emit api.request on every inbound API call — endpoint, latency_ms, status_code, org_id, api_key_id</w:t>
      </w:r>
    </w:p>
    <w:p>
      <w:pPr>
        <w:pStyle w:val="ListParagraph"/>
        <w:numPr>
          <w:ilvl w:val="0"/>
          <w:numId w:val="2"/>
        </w:numPr>
        <w:spacing w:after="55" w:before="55"/>
      </w:pPr>
      <w:r>
        <w:rPr>
          <w:rFonts w:ascii="Arial" w:cs="Arial" w:eastAsia="Arial" w:hAnsi="Arial"/>
          <w:b w:val="false"/>
          <w:bCs w:val="false"/>
          <w:color w:val="1A1A2E"/>
          <w:sz w:val="18"/>
          <w:szCs w:val="18"/>
        </w:rPr>
        <w:t xml:space="preserve">Emit webhook.delivered / failed from the webhook dispatch function</w:t>
      </w:r>
    </w:p>
    <w:p>
      <w:pPr>
        <w:pStyle w:val="ListParagraph"/>
        <w:numPr>
          <w:ilvl w:val="0"/>
          <w:numId w:val="2"/>
        </w:numPr>
        <w:spacing w:after="55" w:before="55"/>
      </w:pPr>
      <w:r>
        <w:rPr>
          <w:rFonts w:ascii="Arial" w:cs="Arial" w:eastAsia="Arial" w:hAnsi="Arial"/>
          <w:b w:val="false"/>
          <w:bCs w:val="false"/>
          <w:color w:val="1A1A2E"/>
          <w:sz w:val="18"/>
          <w:szCs w:val="18"/>
        </w:rPr>
        <w:t xml:space="preserve">Use posthog-node SDK or PostHog HTTP API — all Convex Actions support outbound HTTP calls</w:t>
      </w:r>
    </w:p>
    <w:p>
      <w:pPr>
        <w:spacing w:after="0" w:before="80"/>
      </w:pPr>
      <w:r>
        <w:t xml:space="preserve"/>
      </w:r>
    </w:p>
    <w:p>
      <w:pPr>
        <w:spacing w:after="80" w:before="200"/>
      </w:pPr>
      <w:r>
        <w:rPr>
          <w:rFonts w:ascii="Arial" w:cs="Arial" w:eastAsia="Arial" w:hAnsi="Arial"/>
          <w:b/>
          <w:bCs/>
          <w:color w:val="1E88E5"/>
          <w:sz w:val="20"/>
          <w:szCs w:val="20"/>
        </w:rPr>
        <w:t xml:space="preserve">Step 4 — Build Per-Client Funnels in PostHog</w:t>
      </w:r>
    </w:p>
    <w:p>
      <w:pPr>
        <w:pStyle w:val="ListParagraph"/>
        <w:numPr>
          <w:ilvl w:val="0"/>
          <w:numId w:val="2"/>
        </w:numPr>
        <w:spacing w:after="55" w:before="55"/>
      </w:pPr>
      <w:r>
        <w:rPr>
          <w:rFonts w:ascii="Arial" w:cs="Arial" w:eastAsia="Arial" w:hAnsi="Arial"/>
          <w:b w:val="false"/>
          <w:bCs w:val="false"/>
          <w:color w:val="1A1A2E"/>
          <w:sz w:val="18"/>
          <w:szCs w:val="18"/>
        </w:rPr>
        <w:t xml:space="preserve">Create a funnel: verification.started → verification.submitted → verification.approved, filtered by org_id</w:t>
      </w:r>
    </w:p>
    <w:p>
      <w:pPr>
        <w:pStyle w:val="ListParagraph"/>
        <w:numPr>
          <w:ilvl w:val="0"/>
          <w:numId w:val="2"/>
        </w:numPr>
        <w:spacing w:after="55" w:before="55"/>
      </w:pPr>
      <w:r>
        <w:rPr>
          <w:rFonts w:ascii="Arial" w:cs="Arial" w:eastAsia="Arial" w:hAnsi="Arial"/>
          <w:b w:val="false"/>
          <w:bCs w:val="false"/>
          <w:color w:val="1A1A2E"/>
          <w:sz w:val="18"/>
          <w:szCs w:val="18"/>
        </w:rPr>
        <w:t xml:space="preserve">Break down by type (KYC / KYB / KYI) to see if drop-off differs by product</w:t>
      </w:r>
    </w:p>
    <w:p>
      <w:pPr>
        <w:pStyle w:val="ListParagraph"/>
        <w:numPr>
          <w:ilvl w:val="0"/>
          <w:numId w:val="2"/>
        </w:numPr>
        <w:spacing w:after="55" w:before="55"/>
      </w:pPr>
      <w:r>
        <w:rPr>
          <w:rFonts w:ascii="Arial" w:cs="Arial" w:eastAsia="Arial" w:hAnsi="Arial"/>
          <w:b w:val="false"/>
          <w:bCs w:val="false"/>
          <w:color w:val="1A1A2E"/>
          <w:sz w:val="18"/>
          <w:szCs w:val="18"/>
        </w:rPr>
        <w:t xml:space="preserve">Break down by device_type — do mobile applicants drop off more than desktop?</w:t>
      </w:r>
    </w:p>
    <w:p>
      <w:pPr>
        <w:pStyle w:val="ListParagraph"/>
        <w:numPr>
          <w:ilvl w:val="0"/>
          <w:numId w:val="2"/>
        </w:numPr>
        <w:spacing w:after="55" w:before="55"/>
      </w:pPr>
      <w:r>
        <w:rPr>
          <w:rFonts w:ascii="Arial" w:cs="Arial" w:eastAsia="Arial" w:hAnsi="Arial"/>
          <w:b w:val="false"/>
          <w:bCs w:val="false"/>
          <w:color w:val="1A1A2E"/>
          <w:sz w:val="18"/>
          <w:szCs w:val="18"/>
        </w:rPr>
        <w:t xml:space="preserve">This answers the 57% drop-off question within 48 hours of instrumentation going live</w:t>
      </w:r>
    </w:p>
    <w:p>
      <w:pPr>
        <w:spacing w:after="0" w:before="200"/>
      </w:pPr>
      <w:r>
        <w:t xml:space="preserve"/>
      </w:r>
    </w:p>
    <w:p>
      <w:pPr>
        <w:pStyle w:val="Heading1"/>
        <w:pBdr>
          <w:bottom w:val="single" w:color="1E88E5" w:sz="8" w:space="6"/>
        </w:pBdr>
        <w:spacing w:after="160" w:before="360"/>
      </w:pPr>
      <w:r>
        <w:rPr>
          <w:rFonts w:ascii="Arial" w:cs="Arial" w:eastAsia="Arial" w:hAnsi="Arial"/>
          <w:b/>
          <w:bCs/>
          <w:color w:val="0A2463"/>
          <w:sz w:val="28"/>
          <w:szCs w:val="28"/>
        </w:rPr>
        <w:t xml:space="preserve">Next Steps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8"/>
              <w:left w:val="single" w:color="1E88E5" w:sz="8"/>
              <w:bottom w:val="none" w:color="FFFFFF" w:sz="0"/>
              <w:right w:val="none" w:color="FFFFFF" w:sz="0"/>
            </w:tcBorders>
            <w:shd w:fill="E8F0FE" w:val="clear"/>
            <w:tcMar>
              <w:top w:type="dxa" w:w="180"/>
              <w:left w:type="dxa" w:w="280"/>
              <w:bottom w:type="dxa" w:w="180"/>
              <w:right w:type="dxa" w:w="280"/>
            </w:tcMar>
          </w:tcPr>
          <w:p>
            <w:r>
              <w:rPr>
                <w:rFonts w:ascii="Arial" w:cs="Arial" w:eastAsia="Arial" w:hAnsi="Arial"/>
                <w:b/>
                <w:bCs/>
                <w:color w:val="0A2463"/>
                <w:sz w:val="22"/>
                <w:szCs w:val="22"/>
              </w:rPr>
              <w:t xml:space="preserve">Questions on this spec?</w:t>
            </w:r>
          </w:p>
          <w:p>
            <w:pPr>
              <w:spacing w:before="100"/>
            </w:pPr>
            <w:r>
              <w:rPr>
                <w:rFonts w:ascii="Arial" w:cs="Arial" w:eastAsia="Arial" w:hAnsi="Arial"/>
                <w:color w:val="4A4A6A"/>
                <w:sz w:val="20"/>
                <w:szCs w:val="20"/>
              </w:rPr>
              <w:t xml:space="preserve">Book time with Brian or reach out directly.</w:t>
            </w:r>
          </w:p>
          <w:p>
            <w:pPr>
              <w:spacing w:before="80"/>
            </w:pPr>
            <w:r>
              <w:rPr>
                <w:rFonts w:ascii="Arial" w:cs="Arial" w:eastAsia="Arial" w:hAnsi="Arial"/>
                <w:b/>
                <w:bCs/>
                <w:color w:val="0A2463"/>
                <w:sz w:val="19"/>
                <w:szCs w:val="19"/>
              </w:rPr>
              <w:t xml:space="preserve">calendly.com/koyundibryan/30min  |  sales@deeptrack.io  |  deeptrack.io</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8E5" w:sz="4" w:space="1"/>
      </w:pBdr>
      <w:tabs>
        <w:tab w:val="right" w:pos="9026"/>
      </w:tabs>
    </w:pPr>
    <w:r>
      <w:rPr>
        <w:rFonts w:ascii="Arial" w:cs="Arial" w:eastAsia="Arial" w:hAnsi="Arial"/>
        <w:color w:val="4A4A6A"/>
        <w:sz w:val="16"/>
        <w:szCs w:val="16"/>
      </w:rPr>
      <w:t xml:space="preserve">Confidential — Deeptrack  |  deeptrack.io</w:t>
    </w:r>
    <w:r>
      <w:rPr>
        <w:rFonts w:ascii="Arial" w:cs="Arial" w:eastAsia="Arial" w:hAnsi="Arial"/>
        <w:color w:val="4A4A6A"/>
        <w:sz w:val="16"/>
        <w:szCs w:val="16"/>
      </w:rPr>
      <w:t xml:space="preserve">	sales@deeptrack.io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8E5" w:sz="6" w:space="1"/>
      </w:pBdr>
    </w:pPr>
    <w:r>
      <w:rPr>
        <w:rFonts w:ascii="Arial" w:cs="Arial" w:eastAsia="Arial" w:hAnsi="Arial"/>
        <w:b/>
        <w:bCs/>
        <w:color w:val="0A2463"/>
        <w:sz w:val="18"/>
        <w:szCs w:val="18"/>
      </w:rPr>
      <w:t xml:space="preserve">DEEPTRACK</w:t>
    </w:r>
    <w:r>
      <w:rPr>
        <w:rFonts w:ascii="Arial" w:cs="Arial" w:eastAsia="Arial" w:hAnsi="Arial"/>
        <w:color w:val="4A4A6A"/>
        <w:sz w:val="18"/>
        <w:szCs w:val="18"/>
      </w:rPr>
      <w:t xml:space="preserve">  —  Client Platform Spec  |  Portal · Admin · Telemetry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2463"/>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A24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2026-03-23T15:15:09.603Z</dcterms:created>
  <dcterms:modified xsi:type="dcterms:W3CDTF">2026-03-23T15:15:09.603Z</dcterms:modified>
</cp:coreProperties>
</file>

<file path=docProps/custom.xml><?xml version="1.0" encoding="utf-8"?>
<Properties xmlns="http://schemas.openxmlformats.org/officeDocument/2006/custom-properties" xmlns:vt="http://schemas.openxmlformats.org/officeDocument/2006/docPropsVTypes"/>
</file>