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B00EC" w14:textId="585E1691" w:rsidR="009B7464" w:rsidRDefault="00000000">
      <w:pPr>
        <w:pStyle w:val="Heading1"/>
        <w:spacing w:before="82"/>
        <w:ind w:left="165" w:right="17" w:firstLine="0"/>
        <w:jc w:val="both"/>
      </w:pPr>
      <w:r>
        <w:t>Company XYZMPANY ABC Sdn. Bhd., A WHOLLY-Company XYZ (“COMPANY”)</w:t>
      </w:r>
    </w:p>
    <w:p w14:paraId="69FF2C55" w14:textId="77777777" w:rsidR="009B7464" w:rsidRDefault="009B7464">
      <w:pPr>
        <w:pStyle w:val="BodyText"/>
        <w:rPr>
          <w:rFonts w:ascii="Arial"/>
          <w:b/>
        </w:rPr>
      </w:pPr>
      <w:r/>
    </w:p>
    <w:p w14:paraId="7D54A778" w14:textId="77777777" w:rsidR="009B7464" w:rsidRDefault="009B7464">
      <w:pPr>
        <w:pStyle w:val="BodyText"/>
        <w:spacing w:before="36"/>
        <w:rPr>
          <w:rFonts w:ascii="Arial"/>
          <w:b/>
        </w:rPr>
      </w:pPr>
      <w:r/>
    </w:p>
    <w:p w14:paraId="33A9AAB2" w14:textId="77777777" w:rsidR="009B7464" w:rsidRDefault="00000000">
      <w:pPr>
        <w:pStyle w:val="ListParagraph"/>
        <w:numPr>
          <w:ilvl w:val="0"/>
          <w:numId w:val="4"/>
        </w:numPr>
        <w:tabs>
          <w:tab w:val="left" w:pos="731"/>
        </w:tabs>
        <w:ind w:hanging="566"/>
        <w:rPr>
          <w:rFonts w:ascii="Arial"/>
          <w:b/>
          <w:sz w:val="20"/>
        </w:rPr>
      </w:pPr>
      <w:r>
        <w:t>INTRODUCTION</w:t>
      </w:r>
    </w:p>
    <w:p w14:paraId="0F062B22" w14:textId="77777777" w:rsidR="009B7464" w:rsidRDefault="009B7464">
      <w:pPr>
        <w:pStyle w:val="BodyText"/>
        <w:spacing w:before="1"/>
        <w:rPr>
          <w:rFonts w:ascii="Arial"/>
          <w:b/>
        </w:rPr>
      </w:pPr>
      <w:r/>
    </w:p>
    <w:p w14:paraId="7AB1813A" w14:textId="78C8544A" w:rsidR="009B7464" w:rsidRDefault="00000000">
      <w:pPr>
        <w:pStyle w:val="BodyText"/>
        <w:ind w:left="731" w:right="54" w:firstLine="2"/>
        <w:jc w:val="both"/>
      </w:pPr>
      <w:r>
        <w:t>Company XYZmpany (“Board”) Company XYZmpany ABC Sdn. Bhd. (“ABC”), a wholly-Company XYZmpany XYZ Sdn. Bhd. (“Owner”) in relation to the proposed acquisition of the Property (as defined below in Section 2.1) by ABC for a purchase price of RM10,200,000.00, (hereinafter referred to as the “Proposed Acquisition”) Company XYZmbination of internally generated funds, bank borrowings and/or future fund-Company XYZmpany in the future.</w:t>
      </w:r>
    </w:p>
    <w:p w14:paraId="06B79206" w14:textId="77777777" w:rsidR="009B7464" w:rsidRDefault="009B7464">
      <w:pPr>
        <w:pStyle w:val="BodyText"/>
        <w:spacing w:before="1"/>
      </w:pPr>
      <w:r/>
    </w:p>
    <w:p w14:paraId="4B699EB6" w14:textId="355E23CC" w:rsidR="009B7464" w:rsidRDefault="00000000">
      <w:pPr>
        <w:pStyle w:val="BodyText"/>
        <w:spacing w:before="1"/>
        <w:ind w:left="731" w:right="52" w:firstLine="2"/>
        <w:jc w:val="both"/>
      </w:pPr>
      <w:r>
        <w:t>The term sheet in relation to the Proposed Acquisition (“Term Sheet”) shall bind the Owner and ABC (collectively referred to as “the Party(ies)”) pending the finalisation and execution of a formal sale and purchase agreement for the Proposed Acquisition (“Sale and Purchase Agreement”).</w:t>
      </w:r>
    </w:p>
    <w:p w14:paraId="2DFA7E3D" w14:textId="77777777" w:rsidR="009B7464" w:rsidRDefault="009B7464">
      <w:pPr>
        <w:pStyle w:val="BodyText"/>
        <w:spacing w:before="229"/>
      </w:pPr>
      <w:r/>
    </w:p>
    <w:p w14:paraId="7DC9C6FE" w14:textId="77777777" w:rsidR="009B7464" w:rsidRDefault="00000000">
      <w:pPr>
        <w:pStyle w:val="Heading1"/>
        <w:numPr>
          <w:ilvl w:val="0"/>
          <w:numId w:val="4"/>
        </w:numPr>
        <w:tabs>
          <w:tab w:val="left" w:pos="731"/>
        </w:tabs>
        <w:spacing w:before="1"/>
        <w:ind w:hanging="566"/>
      </w:pPr>
      <w:r>
        <w:t>DETAILS OF THE PROPERTY AND SALIENT TERMS OF THE TERM SHEET</w:t>
      </w:r>
    </w:p>
    <w:p w14:paraId="40E40080" w14:textId="77777777" w:rsidR="009B7464" w:rsidRDefault="00000000">
      <w:pPr>
        <w:pStyle w:val="ListParagraph"/>
        <w:numPr>
          <w:ilvl w:val="1"/>
          <w:numId w:val="4"/>
        </w:numPr>
        <w:tabs>
          <w:tab w:val="left" w:pos="1298"/>
        </w:tabs>
        <w:spacing w:before="228"/>
        <w:rPr>
          <w:sz w:val="20"/>
        </w:rPr>
      </w:pPr>
      <w:r>
        <w:t>Details of the Property</w:t>
      </w:r>
    </w:p>
    <w:p w14:paraId="05F3FCA7" w14:textId="77777777" w:rsidR="009B7464" w:rsidRDefault="009B7464">
      <w:pPr>
        <w:pStyle w:val="BodyText"/>
        <w:spacing w:before="1"/>
      </w:pPr>
      <w:r/>
    </w:p>
    <w:p w14:paraId="7C305773" w14:textId="5D345EA1" w:rsidR="009B7464" w:rsidRDefault="00000000" w:rsidP="00FA76C5">
      <w:pPr>
        <w:pStyle w:val="BodyText"/>
        <w:ind w:left="1298" w:right="54"/>
        <w:jc w:val="both"/>
      </w:pPr>
      <w:r>
        <w:t>The subject property is a leasehold industrial land (for 60-year term expiring on 02 December 2025) identified as Lot 1234 (PN 8899), Mukim 5, District of Petaling, Selangor, measuring approximately 4,054 square metres (“sq m”) (approximately 43,637 square feet (“sq ft”)) in land area (“Land”), with a one-storey factory and a two- storey office with total built-up area of approximately 29,753 sq ft erected thereon and bearing postal address No. No. 200, Jalan Bukit Bintang, 50450 Kuala Lumpur, Wilayah Persekutuan.(“Factory”) (Company XYZllectively referred to as “Property”).</w:t>
      </w:r>
    </w:p>
    <w:p w14:paraId="6597CD3D" w14:textId="77777777" w:rsidR="009B7464" w:rsidRDefault="00000000">
      <w:pPr>
        <w:pStyle w:val="BodyText"/>
        <w:spacing w:before="229"/>
        <w:ind w:left="1298"/>
        <w:jc w:val="both"/>
      </w:pPr>
      <w:r>
        <w:t>The other details of the Property are set out below:</w:t>
      </w:r>
    </w:p>
    <w:p w14:paraId="0BA97DBF" w14:textId="77777777" w:rsidR="009B7464" w:rsidRDefault="009B7464">
      <w:pPr>
        <w:pStyle w:val="BodyText"/>
        <w:spacing w:before="1"/>
      </w:pPr>
      <w:r/>
    </w:p>
    <w:tbl>
      <w:tblPr>
        <w:tblW w:w="0" w:type="auto"/>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5104"/>
      </w:tblGrid>
      <w:tr w:rsidR="009B7464" w14:paraId="287F3609" w14:textId="77777777">
        <w:trPr>
          <w:trHeight w:val="460"/>
        </w:trPr>
        <w:tc>
          <w:tcPr>
            <w:tcW w:w="7656" w:type="dxa"/>
            <w:gridSpan w:val="2"/>
          </w:tcPr>
          <w:p w14:paraId="0049C109" w14:textId="77777777" w:rsidR="009B7464" w:rsidRDefault="00000000">
            <w:pPr>
              <w:pStyle w:val="TableParagraph"/>
              <w:spacing w:line="229" w:lineRule="exact"/>
              <w:ind w:left="105"/>
              <w:rPr>
                <w:rFonts w:ascii="Arial"/>
                <w:i/>
                <w:sz w:val="20"/>
              </w:rPr>
            </w:pPr>
            <w:r>
              <w:rPr>
                <w:rFonts w:ascii="Arial"/>
                <w:b/>
                <w:sz w:val="20"/>
              </w:rPr>
              <w:t>The</w:t>
            </w:r>
            <w:r>
              <w:rPr>
                <w:rFonts w:ascii="Arial"/>
                <w:b/>
                <w:spacing w:val="-7"/>
                <w:sz w:val="20"/>
              </w:rPr>
              <w:t xml:space="preserve"> </w:t>
            </w:r>
            <w:r>
              <w:rPr>
                <w:rFonts w:ascii="Arial"/>
                <w:b/>
                <w:sz w:val="20"/>
              </w:rPr>
              <w:t>Land</w:t>
            </w:r>
            <w:r>
              <w:rPr>
                <w:rFonts w:ascii="Arial"/>
                <w:b/>
                <w:spacing w:val="-4"/>
                <w:sz w:val="20"/>
              </w:rPr>
              <w:t xml:space="preserve"> </w:t>
            </w:r>
            <w:r>
              <w:rPr>
                <w:rFonts w:ascii="Arial"/>
                <w:i/>
                <w:sz w:val="20"/>
              </w:rPr>
              <w:t>(Source:</w:t>
            </w:r>
            <w:r>
              <w:rPr>
                <w:rFonts w:ascii="Arial"/>
                <w:i/>
                <w:spacing w:val="-6"/>
                <w:sz w:val="20"/>
              </w:rPr>
              <w:t xml:space="preserve"> </w:t>
            </w:r>
            <w:r>
              <w:rPr>
                <w:rFonts w:ascii="Arial"/>
                <w:i/>
                <w:sz w:val="20"/>
              </w:rPr>
              <w:t>Land</w:t>
            </w:r>
            <w:r>
              <w:rPr>
                <w:rFonts w:ascii="Arial"/>
                <w:i/>
                <w:spacing w:val="-7"/>
                <w:sz w:val="20"/>
              </w:rPr>
              <w:t xml:space="preserve"> </w:t>
            </w:r>
            <w:r>
              <w:rPr>
                <w:rFonts w:ascii="Arial"/>
                <w:i/>
                <w:sz w:val="20"/>
              </w:rPr>
              <w:t>title</w:t>
            </w:r>
            <w:r>
              <w:rPr>
                <w:rFonts w:ascii="Arial"/>
                <w:i/>
                <w:spacing w:val="-6"/>
                <w:sz w:val="20"/>
              </w:rPr>
              <w:t xml:space="preserve"> </w:t>
            </w:r>
            <w:r>
              <w:rPr>
                <w:rFonts w:ascii="Arial"/>
                <w:i/>
                <w:sz w:val="20"/>
              </w:rPr>
              <w:t>search</w:t>
            </w:r>
            <w:r>
              <w:rPr>
                <w:rFonts w:ascii="Arial"/>
                <w:i/>
                <w:spacing w:val="-5"/>
                <w:sz w:val="20"/>
              </w:rPr>
              <w:t xml:space="preserve"> </w:t>
            </w:r>
            <w:r>
              <w:rPr>
                <w:rFonts w:ascii="Arial"/>
                <w:i/>
                <w:sz w:val="20"/>
              </w:rPr>
              <w:t>results</w:t>
            </w:r>
            <w:r>
              <w:rPr>
                <w:rFonts w:ascii="Arial"/>
                <w:i/>
                <w:spacing w:val="-4"/>
                <w:sz w:val="20"/>
              </w:rPr>
              <w:t xml:space="preserve"> </w:t>
            </w:r>
            <w:r>
              <w:rPr>
                <w:rFonts w:ascii="Arial"/>
                <w:i/>
                <w:sz w:val="20"/>
              </w:rPr>
              <w:t>from</w:t>
            </w:r>
            <w:r>
              <w:rPr>
                <w:rFonts w:ascii="Arial"/>
                <w:i/>
                <w:spacing w:val="-6"/>
                <w:sz w:val="20"/>
              </w:rPr>
              <w:t xml:space="preserve"> </w:t>
            </w:r>
            <w:r>
              <w:rPr>
                <w:rFonts w:ascii="Arial"/>
                <w:i/>
                <w:sz w:val="20"/>
              </w:rPr>
              <w:t>land</w:t>
            </w:r>
            <w:r>
              <w:rPr>
                <w:rFonts w:ascii="Arial"/>
                <w:i/>
                <w:spacing w:val="-5"/>
                <w:sz w:val="20"/>
              </w:rPr>
              <w:t xml:space="preserve"> </w:t>
            </w:r>
            <w:r>
              <w:rPr>
                <w:rFonts w:ascii="Arial"/>
                <w:i/>
                <w:spacing w:val="-2"/>
                <w:sz w:val="20"/>
              </w:rPr>
              <w:t>office)</w:t>
            </w:r>
          </w:p>
        </w:tc>
      </w:tr>
      <w:tr w:rsidR="009B7464" w14:paraId="74BE8CC0" w14:textId="77777777">
        <w:trPr>
          <w:trHeight w:val="460"/>
        </w:trPr>
        <w:tc>
          <w:tcPr>
            <w:tcW w:w="2552" w:type="dxa"/>
          </w:tcPr>
          <w:p w14:paraId="3348C0DA" w14:textId="77777777" w:rsidR="009B7464" w:rsidRDefault="00000000">
            <w:pPr>
              <w:pStyle w:val="TableParagraph"/>
              <w:spacing w:line="229" w:lineRule="exact"/>
              <w:ind w:left="105"/>
              <w:rPr>
                <w:sz w:val="20"/>
              </w:rPr>
            </w:pPr>
            <w:r>
              <w:rPr>
                <w:sz w:val="20"/>
              </w:rPr>
              <w:t>Category</w:t>
            </w:r>
            <w:r>
              <w:rPr>
                <w:spacing w:val="-5"/>
                <w:sz w:val="20"/>
              </w:rPr>
              <w:t xml:space="preserve"> </w:t>
            </w:r>
            <w:r>
              <w:rPr>
                <w:sz w:val="20"/>
              </w:rPr>
              <w:t>of</w:t>
            </w:r>
            <w:r>
              <w:rPr>
                <w:spacing w:val="-7"/>
                <w:sz w:val="20"/>
              </w:rPr>
              <w:t xml:space="preserve"> </w:t>
            </w:r>
            <w:r>
              <w:rPr>
                <w:sz w:val="20"/>
              </w:rPr>
              <w:t>land</w:t>
            </w:r>
            <w:r>
              <w:rPr>
                <w:spacing w:val="-6"/>
                <w:sz w:val="20"/>
              </w:rPr>
              <w:t xml:space="preserve"> </w:t>
            </w:r>
            <w:r>
              <w:rPr>
                <w:spacing w:val="-5"/>
                <w:sz w:val="20"/>
              </w:rPr>
              <w:t>use</w:t>
            </w:r>
          </w:p>
        </w:tc>
        <w:tc>
          <w:tcPr>
            <w:tcW w:w="5104" w:type="dxa"/>
          </w:tcPr>
          <w:p w14:paraId="091B3B4C" w14:textId="77777777" w:rsidR="009B7464" w:rsidRDefault="00000000">
            <w:pPr>
              <w:pStyle w:val="TableParagraph"/>
              <w:spacing w:line="229" w:lineRule="exact"/>
              <w:ind w:left="107"/>
              <w:rPr>
                <w:sz w:val="20"/>
              </w:rPr>
            </w:pPr>
            <w:r>
              <w:rPr>
                <w:spacing w:val="-2"/>
                <w:sz w:val="20"/>
              </w:rPr>
              <w:t>Industry</w:t>
            </w:r>
          </w:p>
        </w:tc>
      </w:tr>
      <w:tr w:rsidR="009B7464" w14:paraId="31C3EA8B" w14:textId="77777777">
        <w:trPr>
          <w:trHeight w:val="3449"/>
        </w:trPr>
        <w:tc>
          <w:tcPr>
            <w:tcW w:w="2552" w:type="dxa"/>
          </w:tcPr>
          <w:p w14:paraId="4D2AA027" w14:textId="77777777" w:rsidR="009B7464" w:rsidRDefault="00000000">
            <w:pPr>
              <w:pStyle w:val="TableParagraph"/>
              <w:spacing w:line="229" w:lineRule="exact"/>
              <w:ind w:left="105"/>
              <w:rPr>
                <w:sz w:val="20"/>
              </w:rPr>
            </w:pPr>
            <w:r>
              <w:rPr>
                <w:spacing w:val="-2"/>
                <w:sz w:val="20"/>
              </w:rPr>
              <w:t>Restriction-in-interest</w:t>
            </w:r>
          </w:p>
        </w:tc>
        <w:tc>
          <w:tcPr>
            <w:tcW w:w="5104" w:type="dxa"/>
          </w:tcPr>
          <w:p w14:paraId="774EE27D" w14:textId="77777777" w:rsidR="009B7464" w:rsidRDefault="00000000">
            <w:pPr>
              <w:pStyle w:val="TableParagraph"/>
              <w:numPr>
                <w:ilvl w:val="0"/>
                <w:numId w:val="3"/>
              </w:numPr>
              <w:tabs>
                <w:tab w:val="left" w:pos="709"/>
                <w:tab w:val="left" w:pos="712"/>
              </w:tabs>
              <w:ind w:right="99"/>
              <w:jc w:val="both"/>
              <w:rPr>
                <w:rFonts w:ascii="Arial"/>
                <w:i/>
                <w:sz w:val="20"/>
              </w:rPr>
            </w:pPr>
            <w:r>
              <w:rPr>
                <w:sz w:val="20"/>
              </w:rPr>
              <w:t>The land hereby alienated shall not be transferred, charged, leased or subleased, tenanted or dealt with any dealings whatsoever without the prior written consent from the State Authority.</w:t>
            </w:r>
            <w:r>
              <w:rPr>
                <w:spacing w:val="-8"/>
                <w:sz w:val="20"/>
              </w:rPr>
              <w:t xml:space="preserve"> </w:t>
            </w:r>
            <w:r>
              <w:rPr>
                <w:rFonts w:ascii="Arial"/>
                <w:i/>
                <w:sz w:val="20"/>
              </w:rPr>
              <w:t>(Tanah</w:t>
            </w:r>
            <w:r>
              <w:rPr>
                <w:rFonts w:ascii="Arial"/>
                <w:i/>
                <w:spacing w:val="-9"/>
                <w:sz w:val="20"/>
              </w:rPr>
              <w:t xml:space="preserve"> </w:t>
            </w:r>
            <w:r>
              <w:rPr>
                <w:rFonts w:ascii="Arial"/>
                <w:i/>
                <w:sz w:val="20"/>
              </w:rPr>
              <w:t>yang</w:t>
            </w:r>
            <w:r>
              <w:rPr>
                <w:rFonts w:ascii="Arial"/>
                <w:i/>
                <w:spacing w:val="-9"/>
                <w:sz w:val="20"/>
              </w:rPr>
              <w:t xml:space="preserve"> </w:t>
            </w:r>
            <w:proofErr w:type="spellStart"/>
            <w:r>
              <w:rPr>
                <w:rFonts w:ascii="Arial"/>
                <w:i/>
                <w:sz w:val="20"/>
              </w:rPr>
              <w:t>diberi</w:t>
            </w:r>
            <w:proofErr w:type="spellEnd"/>
            <w:r>
              <w:rPr>
                <w:rFonts w:ascii="Arial"/>
                <w:i/>
                <w:spacing w:val="-9"/>
                <w:sz w:val="20"/>
              </w:rPr>
              <w:t xml:space="preserve"> </w:t>
            </w:r>
            <w:proofErr w:type="spellStart"/>
            <w:r>
              <w:rPr>
                <w:rFonts w:ascii="Arial"/>
                <w:i/>
                <w:sz w:val="20"/>
              </w:rPr>
              <w:t>milik</w:t>
            </w:r>
            <w:proofErr w:type="spellEnd"/>
            <w:r>
              <w:rPr>
                <w:rFonts w:ascii="Arial"/>
                <w:i/>
                <w:spacing w:val="-8"/>
                <w:sz w:val="20"/>
              </w:rPr>
              <w:t xml:space="preserve"> </w:t>
            </w:r>
            <w:proofErr w:type="spellStart"/>
            <w:r>
              <w:rPr>
                <w:rFonts w:ascii="Arial"/>
                <w:i/>
                <w:sz w:val="20"/>
              </w:rPr>
              <w:t>ini</w:t>
            </w:r>
            <w:proofErr w:type="spellEnd"/>
            <w:r>
              <w:rPr>
                <w:rFonts w:ascii="Arial"/>
                <w:i/>
                <w:spacing w:val="-10"/>
                <w:sz w:val="20"/>
              </w:rPr>
              <w:t xml:space="preserve"> </w:t>
            </w:r>
            <w:proofErr w:type="spellStart"/>
            <w:r>
              <w:rPr>
                <w:rFonts w:ascii="Arial"/>
                <w:i/>
                <w:sz w:val="20"/>
              </w:rPr>
              <w:t>tidak</w:t>
            </w:r>
            <w:proofErr w:type="spellEnd"/>
            <w:r>
              <w:rPr>
                <w:rFonts w:ascii="Arial"/>
                <w:i/>
                <w:spacing w:val="-8"/>
                <w:sz w:val="20"/>
              </w:rPr>
              <w:t xml:space="preserve"> </w:t>
            </w:r>
            <w:proofErr w:type="spellStart"/>
            <w:r>
              <w:rPr>
                <w:rFonts w:ascii="Arial"/>
                <w:i/>
                <w:sz w:val="20"/>
              </w:rPr>
              <w:t>boleh</w:t>
            </w:r>
            <w:proofErr w:type="spellEnd"/>
            <w:r>
              <w:rPr>
                <w:rFonts w:ascii="Arial"/>
                <w:i/>
                <w:sz w:val="20"/>
              </w:rPr>
              <w:t xml:space="preserve"> </w:t>
            </w:r>
            <w:proofErr w:type="spellStart"/>
            <w:r>
              <w:rPr>
                <w:rFonts w:ascii="Arial"/>
                <w:i/>
                <w:sz w:val="20"/>
              </w:rPr>
              <w:t>dipindah</w:t>
            </w:r>
            <w:proofErr w:type="spellEnd"/>
            <w:r>
              <w:rPr>
                <w:rFonts w:ascii="Arial"/>
                <w:i/>
                <w:sz w:val="20"/>
              </w:rPr>
              <w:t xml:space="preserve"> </w:t>
            </w:r>
            <w:proofErr w:type="spellStart"/>
            <w:r>
              <w:rPr>
                <w:rFonts w:ascii="Arial"/>
                <w:i/>
                <w:sz w:val="20"/>
              </w:rPr>
              <w:t>milik</w:t>
            </w:r>
            <w:proofErr w:type="spellEnd"/>
            <w:r>
              <w:rPr>
                <w:rFonts w:ascii="Arial"/>
                <w:i/>
                <w:sz w:val="20"/>
              </w:rPr>
              <w:t xml:space="preserve">, </w:t>
            </w:r>
            <w:proofErr w:type="spellStart"/>
            <w:r>
              <w:rPr>
                <w:rFonts w:ascii="Arial"/>
                <w:i/>
                <w:sz w:val="20"/>
              </w:rPr>
              <w:t>cagar</w:t>
            </w:r>
            <w:proofErr w:type="spellEnd"/>
            <w:r>
              <w:rPr>
                <w:rFonts w:ascii="Arial"/>
                <w:i/>
                <w:sz w:val="20"/>
              </w:rPr>
              <w:t xml:space="preserve">, </w:t>
            </w:r>
            <w:proofErr w:type="spellStart"/>
            <w:r>
              <w:rPr>
                <w:rFonts w:ascii="Arial"/>
                <w:i/>
                <w:sz w:val="20"/>
              </w:rPr>
              <w:t>pajak</w:t>
            </w:r>
            <w:proofErr w:type="spellEnd"/>
            <w:r>
              <w:rPr>
                <w:rFonts w:ascii="Arial"/>
                <w:i/>
                <w:sz w:val="20"/>
              </w:rPr>
              <w:t xml:space="preserve">, </w:t>
            </w:r>
            <w:proofErr w:type="spellStart"/>
            <w:r>
              <w:rPr>
                <w:rFonts w:ascii="Arial"/>
                <w:i/>
                <w:sz w:val="20"/>
              </w:rPr>
              <w:t>atau</w:t>
            </w:r>
            <w:proofErr w:type="spellEnd"/>
            <w:r>
              <w:rPr>
                <w:rFonts w:ascii="Arial"/>
                <w:i/>
                <w:sz w:val="20"/>
              </w:rPr>
              <w:t xml:space="preserve"> </w:t>
            </w:r>
            <w:proofErr w:type="spellStart"/>
            <w:r>
              <w:rPr>
                <w:rFonts w:ascii="Arial"/>
                <w:i/>
                <w:sz w:val="20"/>
              </w:rPr>
              <w:t>pajakan</w:t>
            </w:r>
            <w:proofErr w:type="spellEnd"/>
            <w:r>
              <w:rPr>
                <w:rFonts w:ascii="Arial"/>
                <w:i/>
                <w:sz w:val="20"/>
              </w:rPr>
              <w:t xml:space="preserve"> </w:t>
            </w:r>
            <w:proofErr w:type="spellStart"/>
            <w:r>
              <w:rPr>
                <w:rFonts w:ascii="Arial"/>
                <w:i/>
                <w:sz w:val="20"/>
              </w:rPr>
              <w:t>kecil</w:t>
            </w:r>
            <w:proofErr w:type="spellEnd"/>
            <w:r>
              <w:rPr>
                <w:rFonts w:ascii="Arial"/>
                <w:i/>
                <w:sz w:val="20"/>
              </w:rPr>
              <w:t xml:space="preserve">, </w:t>
            </w:r>
            <w:proofErr w:type="spellStart"/>
            <w:r>
              <w:rPr>
                <w:rFonts w:ascii="Arial"/>
                <w:i/>
                <w:sz w:val="20"/>
              </w:rPr>
              <w:t>tenansi</w:t>
            </w:r>
            <w:proofErr w:type="spellEnd"/>
            <w:r>
              <w:rPr>
                <w:rFonts w:ascii="Arial"/>
                <w:i/>
                <w:spacing w:val="-8"/>
                <w:sz w:val="20"/>
              </w:rPr>
              <w:t xml:space="preserve"> </w:t>
            </w:r>
            <w:proofErr w:type="spellStart"/>
            <w:r>
              <w:rPr>
                <w:rFonts w:ascii="Arial"/>
                <w:i/>
                <w:sz w:val="20"/>
              </w:rPr>
              <w:t>disewakan</w:t>
            </w:r>
            <w:proofErr w:type="spellEnd"/>
            <w:r>
              <w:rPr>
                <w:rFonts w:ascii="Arial"/>
                <w:i/>
                <w:spacing w:val="-7"/>
                <w:sz w:val="20"/>
              </w:rPr>
              <w:t xml:space="preserve"> </w:t>
            </w:r>
            <w:proofErr w:type="spellStart"/>
            <w:r>
              <w:rPr>
                <w:rFonts w:ascii="Arial"/>
                <w:i/>
                <w:sz w:val="20"/>
              </w:rPr>
              <w:t>atau</w:t>
            </w:r>
            <w:proofErr w:type="spellEnd"/>
            <w:r>
              <w:rPr>
                <w:rFonts w:ascii="Arial"/>
                <w:i/>
                <w:spacing w:val="-5"/>
                <w:sz w:val="20"/>
              </w:rPr>
              <w:t xml:space="preserve"> </w:t>
            </w:r>
            <w:proofErr w:type="spellStart"/>
            <w:r>
              <w:rPr>
                <w:rFonts w:ascii="Arial"/>
                <w:i/>
                <w:sz w:val="20"/>
              </w:rPr>
              <w:t>dengan</w:t>
            </w:r>
            <w:proofErr w:type="spellEnd"/>
            <w:r>
              <w:rPr>
                <w:rFonts w:ascii="Arial"/>
                <w:i/>
                <w:spacing w:val="-5"/>
                <w:sz w:val="20"/>
              </w:rPr>
              <w:t xml:space="preserve"> </w:t>
            </w:r>
            <w:proofErr w:type="spellStart"/>
            <w:r>
              <w:rPr>
                <w:rFonts w:ascii="Arial"/>
                <w:i/>
                <w:sz w:val="20"/>
              </w:rPr>
              <w:t>apa-apa</w:t>
            </w:r>
            <w:proofErr w:type="spellEnd"/>
            <w:r>
              <w:rPr>
                <w:rFonts w:ascii="Arial"/>
                <w:i/>
                <w:spacing w:val="-5"/>
                <w:sz w:val="20"/>
              </w:rPr>
              <w:t xml:space="preserve"> </w:t>
            </w:r>
            <w:proofErr w:type="spellStart"/>
            <w:r>
              <w:rPr>
                <w:rFonts w:ascii="Arial"/>
                <w:i/>
                <w:sz w:val="20"/>
              </w:rPr>
              <w:t>urusan</w:t>
            </w:r>
            <w:proofErr w:type="spellEnd"/>
            <w:r>
              <w:rPr>
                <w:rFonts w:ascii="Arial"/>
                <w:i/>
                <w:sz w:val="20"/>
              </w:rPr>
              <w:t xml:space="preserve"> </w:t>
            </w:r>
            <w:proofErr w:type="spellStart"/>
            <w:r>
              <w:rPr>
                <w:rFonts w:ascii="Arial"/>
                <w:i/>
                <w:sz w:val="20"/>
              </w:rPr>
              <w:t>sekalipun</w:t>
            </w:r>
            <w:proofErr w:type="spellEnd"/>
            <w:r>
              <w:rPr>
                <w:rFonts w:ascii="Arial"/>
                <w:i/>
                <w:sz w:val="20"/>
              </w:rPr>
              <w:t xml:space="preserve"> </w:t>
            </w:r>
            <w:proofErr w:type="spellStart"/>
            <w:r>
              <w:rPr>
                <w:rFonts w:ascii="Arial"/>
                <w:i/>
                <w:sz w:val="20"/>
              </w:rPr>
              <w:t>diuruskan</w:t>
            </w:r>
            <w:proofErr w:type="spellEnd"/>
            <w:r>
              <w:rPr>
                <w:rFonts w:ascii="Arial"/>
                <w:i/>
                <w:sz w:val="20"/>
              </w:rPr>
              <w:t xml:space="preserve"> </w:t>
            </w:r>
            <w:proofErr w:type="spellStart"/>
            <w:r>
              <w:rPr>
                <w:rFonts w:ascii="Arial"/>
                <w:i/>
                <w:sz w:val="20"/>
              </w:rPr>
              <w:t>tanpa</w:t>
            </w:r>
            <w:proofErr w:type="spellEnd"/>
            <w:r>
              <w:rPr>
                <w:rFonts w:ascii="Arial"/>
                <w:i/>
                <w:sz w:val="20"/>
              </w:rPr>
              <w:t xml:space="preserve"> </w:t>
            </w:r>
            <w:proofErr w:type="spellStart"/>
            <w:r>
              <w:rPr>
                <w:rFonts w:ascii="Arial"/>
                <w:i/>
                <w:sz w:val="20"/>
              </w:rPr>
              <w:t>kebenaran</w:t>
            </w:r>
            <w:proofErr w:type="spellEnd"/>
            <w:r>
              <w:rPr>
                <w:rFonts w:ascii="Arial"/>
                <w:i/>
                <w:sz w:val="20"/>
              </w:rPr>
              <w:t xml:space="preserve"> </w:t>
            </w:r>
            <w:proofErr w:type="spellStart"/>
            <w:r>
              <w:rPr>
                <w:rFonts w:ascii="Arial"/>
                <w:i/>
                <w:sz w:val="20"/>
              </w:rPr>
              <w:t>bertulis</w:t>
            </w:r>
            <w:proofErr w:type="spellEnd"/>
            <w:r>
              <w:rPr>
                <w:rFonts w:ascii="Arial"/>
                <w:i/>
                <w:sz w:val="20"/>
              </w:rPr>
              <w:t xml:space="preserve"> </w:t>
            </w:r>
            <w:proofErr w:type="spellStart"/>
            <w:r>
              <w:rPr>
                <w:rFonts w:ascii="Arial"/>
                <w:i/>
                <w:sz w:val="20"/>
              </w:rPr>
              <w:t>daripada</w:t>
            </w:r>
            <w:proofErr w:type="spellEnd"/>
            <w:r>
              <w:rPr>
                <w:rFonts w:ascii="Arial"/>
                <w:i/>
                <w:sz w:val="20"/>
              </w:rPr>
              <w:t xml:space="preserve"> </w:t>
            </w:r>
            <w:proofErr w:type="spellStart"/>
            <w:r>
              <w:rPr>
                <w:rFonts w:ascii="Arial"/>
                <w:i/>
                <w:sz w:val="20"/>
              </w:rPr>
              <w:t>Pihak</w:t>
            </w:r>
            <w:proofErr w:type="spellEnd"/>
            <w:r>
              <w:rPr>
                <w:rFonts w:ascii="Arial"/>
                <w:i/>
                <w:sz w:val="20"/>
              </w:rPr>
              <w:t xml:space="preserve"> </w:t>
            </w:r>
            <w:proofErr w:type="spellStart"/>
            <w:r>
              <w:rPr>
                <w:rFonts w:ascii="Arial"/>
                <w:i/>
                <w:sz w:val="20"/>
              </w:rPr>
              <w:t>Berkuasa</w:t>
            </w:r>
            <w:proofErr w:type="spellEnd"/>
            <w:r>
              <w:rPr>
                <w:rFonts w:ascii="Arial"/>
                <w:i/>
                <w:sz w:val="20"/>
              </w:rPr>
              <w:t xml:space="preserve"> Negeri)</w:t>
            </w:r>
          </w:p>
          <w:p w14:paraId="2853CBF3" w14:textId="77777777" w:rsidR="009B7464" w:rsidRDefault="00000000">
            <w:pPr>
              <w:pStyle w:val="TableParagraph"/>
              <w:numPr>
                <w:ilvl w:val="0"/>
                <w:numId w:val="3"/>
              </w:numPr>
              <w:tabs>
                <w:tab w:val="left" w:pos="708"/>
                <w:tab w:val="left" w:pos="712"/>
              </w:tabs>
              <w:spacing w:before="229"/>
              <w:ind w:right="100"/>
              <w:jc w:val="both"/>
              <w:rPr>
                <w:rFonts w:ascii="Arial"/>
                <w:i/>
                <w:sz w:val="20"/>
              </w:rPr>
            </w:pPr>
            <w:r>
              <w:rPr>
                <w:sz w:val="20"/>
              </w:rPr>
              <w:t>The land hereby alienated shall not be partitioned or subdivided. (</w:t>
            </w:r>
            <w:r>
              <w:rPr>
                <w:rFonts w:ascii="Arial"/>
                <w:i/>
                <w:sz w:val="20"/>
              </w:rPr>
              <w:t xml:space="preserve">Tanah yang </w:t>
            </w:r>
            <w:proofErr w:type="spellStart"/>
            <w:r>
              <w:rPr>
                <w:rFonts w:ascii="Arial"/>
                <w:i/>
                <w:sz w:val="20"/>
              </w:rPr>
              <w:t>diberi</w:t>
            </w:r>
            <w:proofErr w:type="spellEnd"/>
            <w:r>
              <w:rPr>
                <w:rFonts w:ascii="Arial"/>
                <w:i/>
                <w:sz w:val="20"/>
              </w:rPr>
              <w:t xml:space="preserve"> </w:t>
            </w:r>
            <w:proofErr w:type="spellStart"/>
            <w:r>
              <w:rPr>
                <w:rFonts w:ascii="Arial"/>
                <w:i/>
                <w:sz w:val="20"/>
              </w:rPr>
              <w:t>milik</w:t>
            </w:r>
            <w:proofErr w:type="spellEnd"/>
            <w:r>
              <w:rPr>
                <w:rFonts w:ascii="Arial"/>
                <w:i/>
                <w:sz w:val="20"/>
              </w:rPr>
              <w:t xml:space="preserve"> </w:t>
            </w:r>
            <w:proofErr w:type="spellStart"/>
            <w:r>
              <w:rPr>
                <w:rFonts w:ascii="Arial"/>
                <w:i/>
                <w:sz w:val="20"/>
              </w:rPr>
              <w:t>ini</w:t>
            </w:r>
            <w:proofErr w:type="spellEnd"/>
            <w:r>
              <w:rPr>
                <w:rFonts w:ascii="Arial"/>
                <w:i/>
                <w:sz w:val="20"/>
              </w:rPr>
              <w:t xml:space="preserve"> </w:t>
            </w:r>
            <w:proofErr w:type="spellStart"/>
            <w:r>
              <w:rPr>
                <w:rFonts w:ascii="Arial"/>
                <w:i/>
                <w:sz w:val="20"/>
              </w:rPr>
              <w:t>tidak</w:t>
            </w:r>
            <w:proofErr w:type="spellEnd"/>
            <w:r>
              <w:rPr>
                <w:rFonts w:ascii="Arial"/>
                <w:i/>
                <w:sz w:val="20"/>
              </w:rPr>
              <w:t xml:space="preserve"> </w:t>
            </w:r>
            <w:proofErr w:type="spellStart"/>
            <w:r>
              <w:rPr>
                <w:rFonts w:ascii="Arial"/>
                <w:i/>
                <w:sz w:val="20"/>
              </w:rPr>
              <w:t>boleh</w:t>
            </w:r>
            <w:proofErr w:type="spellEnd"/>
            <w:r>
              <w:rPr>
                <w:rFonts w:ascii="Arial"/>
                <w:i/>
                <w:sz w:val="20"/>
              </w:rPr>
              <w:t xml:space="preserve"> di </w:t>
            </w:r>
            <w:proofErr w:type="spellStart"/>
            <w:r>
              <w:rPr>
                <w:rFonts w:ascii="Arial"/>
                <w:i/>
                <w:sz w:val="20"/>
              </w:rPr>
              <w:t>pecah</w:t>
            </w:r>
            <w:proofErr w:type="spellEnd"/>
            <w:r>
              <w:rPr>
                <w:rFonts w:ascii="Arial"/>
                <w:i/>
                <w:sz w:val="20"/>
              </w:rPr>
              <w:t xml:space="preserve"> </w:t>
            </w:r>
            <w:proofErr w:type="spellStart"/>
            <w:r>
              <w:rPr>
                <w:rFonts w:ascii="Arial"/>
                <w:i/>
                <w:sz w:val="20"/>
              </w:rPr>
              <w:t>sempadan</w:t>
            </w:r>
            <w:proofErr w:type="spellEnd"/>
            <w:r>
              <w:rPr>
                <w:rFonts w:ascii="Arial"/>
                <w:i/>
                <w:sz w:val="20"/>
              </w:rPr>
              <w:t xml:space="preserve"> </w:t>
            </w:r>
            <w:proofErr w:type="spellStart"/>
            <w:r>
              <w:rPr>
                <w:rFonts w:ascii="Arial"/>
                <w:i/>
                <w:sz w:val="20"/>
              </w:rPr>
              <w:t>atau</w:t>
            </w:r>
            <w:proofErr w:type="spellEnd"/>
            <w:r>
              <w:rPr>
                <w:rFonts w:ascii="Arial"/>
                <w:i/>
                <w:sz w:val="20"/>
              </w:rPr>
              <w:t xml:space="preserve"> di </w:t>
            </w:r>
            <w:proofErr w:type="spellStart"/>
            <w:r>
              <w:rPr>
                <w:rFonts w:ascii="Arial"/>
                <w:i/>
                <w:sz w:val="20"/>
              </w:rPr>
              <w:t>pecah</w:t>
            </w:r>
            <w:proofErr w:type="spellEnd"/>
            <w:r>
              <w:rPr>
                <w:rFonts w:ascii="Arial"/>
                <w:i/>
                <w:sz w:val="20"/>
              </w:rPr>
              <w:t xml:space="preserve"> </w:t>
            </w:r>
            <w:proofErr w:type="spellStart"/>
            <w:r>
              <w:rPr>
                <w:rFonts w:ascii="Arial"/>
                <w:i/>
                <w:sz w:val="20"/>
              </w:rPr>
              <w:t>bahagian</w:t>
            </w:r>
            <w:proofErr w:type="spellEnd"/>
            <w:r>
              <w:rPr>
                <w:rFonts w:ascii="Arial"/>
                <w:i/>
                <w:sz w:val="20"/>
              </w:rPr>
              <w:t>)</w:t>
            </w:r>
          </w:p>
        </w:tc>
      </w:tr>
    </w:tbl>
    <w:p w14:paraId="440991FD" w14:textId="77777777" w:rsidR="009B7464" w:rsidRDefault="009B7464">
      <w:pPr>
        <w:pStyle w:val="TableParagraph"/>
        <w:jc w:val="both"/>
        <w:rPr>
          <w:rFonts w:ascii="Arial"/>
          <w:i/>
          <w:sz w:val="20"/>
        </w:rPr>
        <w:sectPr w:rsidR="009B7464">
          <w:headerReference w:type="default" r:id="rId7"/>
          <w:footerReference w:type="default" r:id="rId8"/>
          <w:type w:val="continuous"/>
          <w:pgSz w:w="11930" w:h="16860"/>
          <w:pgMar w:top="1800" w:right="1417" w:bottom="2060" w:left="1275" w:header="1065" w:footer="1874" w:gutter="0"/>
          <w:pgNumType w:start="1"/>
          <w:cols w:space="720"/>
        </w:sectPr>
      </w:pPr>
      <w:r/>
    </w:p>
    <w:p w14:paraId="3E32794B" w14:textId="77777777" w:rsidR="009B7464" w:rsidRDefault="009B7464">
      <w:pPr>
        <w:pStyle w:val="BodyText"/>
        <w:spacing w:before="2"/>
        <w:rPr>
          <w:sz w:val="7"/>
        </w:rPr>
      </w:pPr>
      <w:r/>
    </w:p>
    <w:tbl>
      <w:tblPr>
        <w:tblW w:w="0" w:type="auto"/>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5104"/>
      </w:tblGrid>
      <w:tr w:rsidR="009B7464" w14:paraId="5B7B2677" w14:textId="77777777">
        <w:trPr>
          <w:trHeight w:val="2529"/>
        </w:trPr>
        <w:tc>
          <w:tcPr>
            <w:tcW w:w="2552" w:type="dxa"/>
          </w:tcPr>
          <w:p w14:paraId="3163F8AE" w14:textId="77777777" w:rsidR="009B7464" w:rsidRDefault="009B7464">
            <w:pPr>
              <w:pStyle w:val="TableParagraph"/>
              <w:rPr>
                <w:rFonts w:ascii="Times New Roman"/>
                <w:sz w:val="18"/>
              </w:rPr>
            </w:pPr>
          </w:p>
        </w:tc>
        <w:tc>
          <w:tcPr>
            <w:tcW w:w="5104" w:type="dxa"/>
          </w:tcPr>
          <w:p w14:paraId="6347FB28" w14:textId="77777777" w:rsidR="009B7464" w:rsidRDefault="00000000">
            <w:pPr>
              <w:pStyle w:val="TableParagraph"/>
              <w:ind w:left="712" w:right="97" w:hanging="606"/>
              <w:jc w:val="both"/>
              <w:rPr>
                <w:rFonts w:ascii="Arial"/>
                <w:i/>
                <w:sz w:val="20"/>
              </w:rPr>
            </w:pPr>
            <w:r>
              <w:rPr>
                <w:sz w:val="20"/>
              </w:rPr>
              <w:t>(iii)</w:t>
            </w:r>
            <w:r>
              <w:rPr>
                <w:spacing w:val="80"/>
                <w:sz w:val="20"/>
              </w:rPr>
              <w:t xml:space="preserve"> </w:t>
            </w:r>
            <w:r>
              <w:rPr>
                <w:sz w:val="20"/>
              </w:rPr>
              <w:t xml:space="preserve">The land hereby alienated and any buildings thereon shall not be used for whatever purpose save for the usage as approved by the Penang Development Corporation and the State Authority </w:t>
            </w:r>
            <w:r>
              <w:rPr>
                <w:rFonts w:ascii="Arial"/>
                <w:i/>
                <w:sz w:val="20"/>
              </w:rPr>
              <w:t xml:space="preserve">(Tanah yang </w:t>
            </w:r>
            <w:proofErr w:type="spellStart"/>
            <w:r>
              <w:rPr>
                <w:rFonts w:ascii="Arial"/>
                <w:i/>
                <w:sz w:val="20"/>
              </w:rPr>
              <w:t>diberi</w:t>
            </w:r>
            <w:proofErr w:type="spellEnd"/>
            <w:r>
              <w:rPr>
                <w:rFonts w:ascii="Arial"/>
                <w:i/>
                <w:sz w:val="20"/>
              </w:rPr>
              <w:t xml:space="preserve"> </w:t>
            </w:r>
            <w:proofErr w:type="spellStart"/>
            <w:r>
              <w:rPr>
                <w:rFonts w:ascii="Arial"/>
                <w:i/>
                <w:sz w:val="20"/>
              </w:rPr>
              <w:t>milik</w:t>
            </w:r>
            <w:proofErr w:type="spellEnd"/>
            <w:r>
              <w:rPr>
                <w:rFonts w:ascii="Arial"/>
                <w:i/>
                <w:sz w:val="20"/>
              </w:rPr>
              <w:t xml:space="preserve"> </w:t>
            </w:r>
            <w:proofErr w:type="spellStart"/>
            <w:r>
              <w:rPr>
                <w:rFonts w:ascii="Arial"/>
                <w:i/>
                <w:sz w:val="20"/>
              </w:rPr>
              <w:t>ini</w:t>
            </w:r>
            <w:proofErr w:type="spellEnd"/>
            <w:r>
              <w:rPr>
                <w:rFonts w:ascii="Arial"/>
                <w:i/>
                <w:sz w:val="20"/>
              </w:rPr>
              <w:t xml:space="preserve"> dan mana- mana </w:t>
            </w:r>
            <w:proofErr w:type="spellStart"/>
            <w:r>
              <w:rPr>
                <w:rFonts w:ascii="Arial"/>
                <w:i/>
                <w:sz w:val="20"/>
              </w:rPr>
              <w:t>bangunan</w:t>
            </w:r>
            <w:proofErr w:type="spellEnd"/>
            <w:r>
              <w:rPr>
                <w:rFonts w:ascii="Arial"/>
                <w:i/>
                <w:sz w:val="20"/>
              </w:rPr>
              <w:t xml:space="preserve"> yang </w:t>
            </w:r>
            <w:proofErr w:type="spellStart"/>
            <w:r>
              <w:rPr>
                <w:rFonts w:ascii="Arial"/>
                <w:i/>
                <w:sz w:val="20"/>
              </w:rPr>
              <w:t>terdapat</w:t>
            </w:r>
            <w:proofErr w:type="spellEnd"/>
            <w:r>
              <w:rPr>
                <w:rFonts w:ascii="Arial"/>
                <w:i/>
                <w:sz w:val="20"/>
              </w:rPr>
              <w:t xml:space="preserve"> </w:t>
            </w:r>
            <w:proofErr w:type="spellStart"/>
            <w:r>
              <w:rPr>
                <w:rFonts w:ascii="Arial"/>
                <w:i/>
                <w:sz w:val="20"/>
              </w:rPr>
              <w:t>diatasnya</w:t>
            </w:r>
            <w:proofErr w:type="spellEnd"/>
            <w:r>
              <w:rPr>
                <w:rFonts w:ascii="Arial"/>
                <w:i/>
                <w:sz w:val="20"/>
              </w:rPr>
              <w:t xml:space="preserve"> </w:t>
            </w:r>
            <w:proofErr w:type="spellStart"/>
            <w:r>
              <w:rPr>
                <w:rFonts w:ascii="Arial"/>
                <w:i/>
                <w:sz w:val="20"/>
              </w:rPr>
              <w:t>tidak</w:t>
            </w:r>
            <w:proofErr w:type="spellEnd"/>
            <w:r>
              <w:rPr>
                <w:rFonts w:ascii="Arial"/>
                <w:i/>
                <w:sz w:val="20"/>
              </w:rPr>
              <w:t xml:space="preserve"> </w:t>
            </w:r>
            <w:proofErr w:type="spellStart"/>
            <w:r>
              <w:rPr>
                <w:rFonts w:ascii="Arial"/>
                <w:i/>
                <w:sz w:val="20"/>
              </w:rPr>
              <w:t>boleh</w:t>
            </w:r>
            <w:proofErr w:type="spellEnd"/>
            <w:r>
              <w:rPr>
                <w:rFonts w:ascii="Arial"/>
                <w:i/>
                <w:sz w:val="20"/>
              </w:rPr>
              <w:t xml:space="preserve"> </w:t>
            </w:r>
            <w:proofErr w:type="spellStart"/>
            <w:r>
              <w:rPr>
                <w:rFonts w:ascii="Arial"/>
                <w:i/>
                <w:sz w:val="20"/>
              </w:rPr>
              <w:t>digunakan</w:t>
            </w:r>
            <w:proofErr w:type="spellEnd"/>
            <w:r>
              <w:rPr>
                <w:rFonts w:ascii="Arial"/>
                <w:i/>
                <w:sz w:val="20"/>
              </w:rPr>
              <w:t xml:space="preserve"> </w:t>
            </w:r>
            <w:proofErr w:type="spellStart"/>
            <w:r>
              <w:rPr>
                <w:rFonts w:ascii="Arial"/>
                <w:i/>
                <w:sz w:val="20"/>
              </w:rPr>
              <w:t>untuk</w:t>
            </w:r>
            <w:proofErr w:type="spellEnd"/>
            <w:r>
              <w:rPr>
                <w:rFonts w:ascii="Arial"/>
                <w:i/>
                <w:sz w:val="20"/>
              </w:rPr>
              <w:t xml:space="preserve"> </w:t>
            </w:r>
            <w:proofErr w:type="spellStart"/>
            <w:r>
              <w:rPr>
                <w:rFonts w:ascii="Arial"/>
                <w:i/>
                <w:sz w:val="20"/>
              </w:rPr>
              <w:t>apa</w:t>
            </w:r>
            <w:proofErr w:type="spellEnd"/>
            <w:r>
              <w:rPr>
                <w:rFonts w:ascii="Arial"/>
                <w:i/>
                <w:sz w:val="20"/>
              </w:rPr>
              <w:t xml:space="preserve"> </w:t>
            </w:r>
            <w:proofErr w:type="spellStart"/>
            <w:r>
              <w:rPr>
                <w:rFonts w:ascii="Arial"/>
                <w:i/>
                <w:sz w:val="20"/>
              </w:rPr>
              <w:t>jua</w:t>
            </w:r>
            <w:proofErr w:type="spellEnd"/>
            <w:r>
              <w:rPr>
                <w:rFonts w:ascii="Arial"/>
                <w:i/>
                <w:sz w:val="20"/>
              </w:rPr>
              <w:t xml:space="preserve"> </w:t>
            </w:r>
            <w:proofErr w:type="spellStart"/>
            <w:r>
              <w:rPr>
                <w:rFonts w:ascii="Arial"/>
                <w:i/>
                <w:sz w:val="20"/>
              </w:rPr>
              <w:t>kegunaan</w:t>
            </w:r>
            <w:proofErr w:type="spellEnd"/>
            <w:r>
              <w:rPr>
                <w:rFonts w:ascii="Arial"/>
                <w:i/>
                <w:spacing w:val="-1"/>
                <w:sz w:val="20"/>
              </w:rPr>
              <w:t xml:space="preserve"> </w:t>
            </w:r>
            <w:proofErr w:type="spellStart"/>
            <w:r>
              <w:rPr>
                <w:rFonts w:ascii="Arial"/>
                <w:i/>
                <w:sz w:val="20"/>
              </w:rPr>
              <w:t>selain</w:t>
            </w:r>
            <w:proofErr w:type="spellEnd"/>
            <w:r>
              <w:rPr>
                <w:rFonts w:ascii="Arial"/>
                <w:i/>
                <w:sz w:val="20"/>
              </w:rPr>
              <w:t xml:space="preserve"> </w:t>
            </w:r>
            <w:proofErr w:type="spellStart"/>
            <w:r>
              <w:rPr>
                <w:rFonts w:ascii="Arial"/>
                <w:i/>
                <w:sz w:val="20"/>
              </w:rPr>
              <w:t>daripada</w:t>
            </w:r>
            <w:proofErr w:type="spellEnd"/>
            <w:r>
              <w:rPr>
                <w:rFonts w:ascii="Arial"/>
                <w:i/>
                <w:sz w:val="20"/>
              </w:rPr>
              <w:t xml:space="preserve"> yang </w:t>
            </w:r>
            <w:proofErr w:type="spellStart"/>
            <w:r>
              <w:rPr>
                <w:rFonts w:ascii="Arial"/>
                <w:i/>
                <w:sz w:val="20"/>
              </w:rPr>
              <w:t>diluluskan</w:t>
            </w:r>
            <w:proofErr w:type="spellEnd"/>
            <w:r>
              <w:rPr>
                <w:rFonts w:ascii="Arial"/>
                <w:i/>
                <w:sz w:val="20"/>
              </w:rPr>
              <w:t xml:space="preserve"> oleh </w:t>
            </w:r>
            <w:proofErr w:type="spellStart"/>
            <w:r>
              <w:rPr>
                <w:rFonts w:ascii="Arial"/>
                <w:i/>
                <w:sz w:val="20"/>
              </w:rPr>
              <w:t>Perbadanan</w:t>
            </w:r>
            <w:proofErr w:type="spellEnd"/>
            <w:r>
              <w:rPr>
                <w:rFonts w:ascii="Arial"/>
                <w:i/>
                <w:sz w:val="20"/>
              </w:rPr>
              <w:t xml:space="preserve"> Pembangunan Pulau Pinang dan </w:t>
            </w:r>
            <w:proofErr w:type="spellStart"/>
            <w:r>
              <w:rPr>
                <w:rFonts w:ascii="Arial"/>
                <w:i/>
                <w:sz w:val="20"/>
              </w:rPr>
              <w:t>Pihak</w:t>
            </w:r>
            <w:proofErr w:type="spellEnd"/>
            <w:r>
              <w:rPr>
                <w:rFonts w:ascii="Arial"/>
                <w:i/>
                <w:sz w:val="20"/>
              </w:rPr>
              <w:t xml:space="preserve"> </w:t>
            </w:r>
            <w:proofErr w:type="spellStart"/>
            <w:r>
              <w:rPr>
                <w:rFonts w:ascii="Arial"/>
                <w:i/>
                <w:sz w:val="20"/>
              </w:rPr>
              <w:t>Berkuasa</w:t>
            </w:r>
            <w:proofErr w:type="spellEnd"/>
            <w:r>
              <w:rPr>
                <w:rFonts w:ascii="Arial"/>
                <w:i/>
                <w:sz w:val="20"/>
              </w:rPr>
              <w:t xml:space="preserve"> Negeri)</w:t>
            </w:r>
          </w:p>
        </w:tc>
      </w:tr>
      <w:tr w:rsidR="009B7464" w14:paraId="1D599C9B" w14:textId="77777777">
        <w:trPr>
          <w:trHeight w:val="690"/>
        </w:trPr>
        <w:tc>
          <w:tcPr>
            <w:tcW w:w="2552" w:type="dxa"/>
          </w:tcPr>
          <w:p w14:paraId="1E7F8384" w14:textId="77777777" w:rsidR="009B7464" w:rsidRDefault="00000000">
            <w:pPr>
              <w:pStyle w:val="TableParagraph"/>
              <w:spacing w:line="229" w:lineRule="exact"/>
              <w:ind w:left="105"/>
              <w:rPr>
                <w:sz w:val="20"/>
              </w:rPr>
            </w:pPr>
            <w:r>
              <w:rPr>
                <w:sz w:val="20"/>
              </w:rPr>
              <w:t>Registered</w:t>
            </w:r>
            <w:r>
              <w:rPr>
                <w:spacing w:val="-14"/>
                <w:sz w:val="20"/>
              </w:rPr>
              <w:t xml:space="preserve"> </w:t>
            </w:r>
            <w:r>
              <w:rPr>
                <w:spacing w:val="-2"/>
                <w:sz w:val="20"/>
              </w:rPr>
              <w:t>encumbrances</w:t>
            </w:r>
          </w:p>
        </w:tc>
        <w:tc>
          <w:tcPr>
            <w:tcW w:w="5104" w:type="dxa"/>
          </w:tcPr>
          <w:p w14:paraId="1CE52217" w14:textId="77777777" w:rsidR="009B7464" w:rsidRDefault="00000000">
            <w:pPr>
              <w:pStyle w:val="TableParagraph"/>
              <w:ind w:left="141" w:right="89" w:hanging="34"/>
              <w:rPr>
                <w:sz w:val="20"/>
              </w:rPr>
            </w:pPr>
            <w:r>
              <w:rPr>
                <w:sz w:val="20"/>
              </w:rPr>
              <w:t>A</w:t>
            </w:r>
            <w:r>
              <w:rPr>
                <w:spacing w:val="-14"/>
                <w:sz w:val="20"/>
              </w:rPr>
              <w:t xml:space="preserve"> </w:t>
            </w:r>
            <w:r>
              <w:rPr>
                <w:sz w:val="20"/>
              </w:rPr>
              <w:t>legal</w:t>
            </w:r>
            <w:r>
              <w:rPr>
                <w:spacing w:val="-14"/>
                <w:sz w:val="20"/>
              </w:rPr>
              <w:t xml:space="preserve"> </w:t>
            </w:r>
            <w:r>
              <w:rPr>
                <w:sz w:val="20"/>
              </w:rPr>
              <w:t>charge</w:t>
            </w:r>
            <w:r>
              <w:rPr>
                <w:spacing w:val="-14"/>
                <w:sz w:val="20"/>
              </w:rPr>
              <w:t xml:space="preserve"> </w:t>
            </w:r>
            <w:r>
              <w:rPr>
                <w:sz w:val="20"/>
              </w:rPr>
              <w:t>in</w:t>
            </w:r>
            <w:r>
              <w:rPr>
                <w:spacing w:val="-14"/>
                <w:sz w:val="20"/>
              </w:rPr>
              <w:t xml:space="preserve"> </w:t>
            </w:r>
            <w:proofErr w:type="spellStart"/>
            <w:r>
              <w:rPr>
                <w:sz w:val="20"/>
              </w:rPr>
              <w:t>favour</w:t>
            </w:r>
            <w:proofErr w:type="spellEnd"/>
            <w:r>
              <w:rPr>
                <w:spacing w:val="-14"/>
                <w:sz w:val="20"/>
              </w:rPr>
              <w:t xml:space="preserve"> </w:t>
            </w:r>
            <w:r>
              <w:rPr>
                <w:sz w:val="20"/>
              </w:rPr>
              <w:t>of</w:t>
            </w:r>
            <w:r>
              <w:rPr>
                <w:spacing w:val="-14"/>
                <w:sz w:val="20"/>
              </w:rPr>
              <w:t xml:space="preserve"> </w:t>
            </w:r>
            <w:r>
              <w:rPr>
                <w:sz w:val="20"/>
              </w:rPr>
              <w:t>Malayan</w:t>
            </w:r>
            <w:r>
              <w:rPr>
                <w:spacing w:val="-14"/>
                <w:sz w:val="20"/>
              </w:rPr>
              <w:t xml:space="preserve"> </w:t>
            </w:r>
            <w:r>
              <w:rPr>
                <w:sz w:val="20"/>
              </w:rPr>
              <w:t>Banking</w:t>
            </w:r>
            <w:r>
              <w:rPr>
                <w:spacing w:val="-14"/>
                <w:sz w:val="20"/>
              </w:rPr>
              <w:t xml:space="preserve"> </w:t>
            </w:r>
            <w:proofErr w:type="spellStart"/>
            <w:r>
              <w:rPr>
                <w:sz w:val="20"/>
              </w:rPr>
              <w:t>Berhad</w:t>
            </w:r>
            <w:proofErr w:type="spellEnd"/>
            <w:r>
              <w:rPr>
                <w:spacing w:val="-14"/>
                <w:sz w:val="20"/>
              </w:rPr>
              <w:t xml:space="preserve"> </w:t>
            </w:r>
            <w:r>
              <w:rPr>
                <w:sz w:val="20"/>
              </w:rPr>
              <w:t xml:space="preserve">and a private caveat filed by Malayan Banking </w:t>
            </w:r>
            <w:proofErr w:type="spellStart"/>
            <w:r>
              <w:rPr>
                <w:sz w:val="20"/>
              </w:rPr>
              <w:t>Berhad</w:t>
            </w:r>
            <w:proofErr w:type="spellEnd"/>
          </w:p>
        </w:tc>
      </w:tr>
    </w:tbl>
    <w:p w14:paraId="11D9AE65" w14:textId="77777777" w:rsidR="009B7464" w:rsidRDefault="009B7464">
      <w:pPr>
        <w:pStyle w:val="BodyText"/>
        <w:spacing w:before="23"/>
      </w:pPr>
      <w:r/>
    </w:p>
    <w:tbl>
      <w:tblPr>
        <w:tblW w:w="0" w:type="auto"/>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5104"/>
      </w:tblGrid>
      <w:tr w:rsidR="009B7464" w14:paraId="1FD270A0" w14:textId="77777777">
        <w:trPr>
          <w:trHeight w:val="460"/>
        </w:trPr>
        <w:tc>
          <w:tcPr>
            <w:tcW w:w="7656" w:type="dxa"/>
            <w:gridSpan w:val="2"/>
          </w:tcPr>
          <w:p w14:paraId="67040220" w14:textId="77777777" w:rsidR="009B7464" w:rsidRDefault="00000000">
            <w:pPr>
              <w:pStyle w:val="TableParagraph"/>
              <w:spacing w:line="229" w:lineRule="exact"/>
              <w:ind w:left="105"/>
              <w:rPr>
                <w:rFonts w:ascii="Arial"/>
                <w:i/>
                <w:sz w:val="20"/>
              </w:rPr>
            </w:pPr>
            <w:r>
              <w:rPr>
                <w:rFonts w:ascii="Arial"/>
                <w:b/>
                <w:sz w:val="20"/>
              </w:rPr>
              <w:t>The</w:t>
            </w:r>
            <w:r>
              <w:rPr>
                <w:rFonts w:ascii="Arial"/>
                <w:b/>
                <w:spacing w:val="-7"/>
                <w:sz w:val="20"/>
              </w:rPr>
              <w:t xml:space="preserve"> </w:t>
            </w:r>
            <w:r>
              <w:rPr>
                <w:rFonts w:ascii="Arial"/>
                <w:b/>
                <w:sz w:val="20"/>
              </w:rPr>
              <w:t>Factory</w:t>
            </w:r>
            <w:r>
              <w:rPr>
                <w:rFonts w:ascii="Arial"/>
                <w:b/>
                <w:spacing w:val="-4"/>
                <w:sz w:val="20"/>
              </w:rPr>
              <w:t xml:space="preserve"> </w:t>
            </w:r>
            <w:r>
              <w:rPr>
                <w:rFonts w:ascii="Arial"/>
                <w:i/>
                <w:sz w:val="20"/>
              </w:rPr>
              <w:t>(Source:</w:t>
            </w:r>
            <w:r>
              <w:rPr>
                <w:rFonts w:ascii="Arial"/>
                <w:i/>
                <w:spacing w:val="-7"/>
                <w:sz w:val="20"/>
              </w:rPr>
              <w:t xml:space="preserve"> </w:t>
            </w:r>
            <w:r>
              <w:rPr>
                <w:rFonts w:ascii="Arial"/>
                <w:i/>
                <w:sz w:val="20"/>
              </w:rPr>
              <w:t>Management</w:t>
            </w:r>
            <w:r>
              <w:rPr>
                <w:rFonts w:ascii="Arial"/>
                <w:i/>
                <w:spacing w:val="-5"/>
                <w:sz w:val="20"/>
              </w:rPr>
              <w:t xml:space="preserve"> </w:t>
            </w:r>
            <w:r>
              <w:rPr>
                <w:rFonts w:ascii="Arial"/>
                <w:i/>
                <w:sz w:val="20"/>
              </w:rPr>
              <w:t>of</w:t>
            </w:r>
            <w:r>
              <w:rPr>
                <w:rFonts w:ascii="Arial"/>
                <w:i/>
                <w:spacing w:val="-7"/>
                <w:sz w:val="20"/>
              </w:rPr>
              <w:t xml:space="preserve"> </w:t>
            </w:r>
            <w:r>
              <w:rPr>
                <w:rFonts w:ascii="Arial"/>
                <w:i/>
                <w:sz w:val="20"/>
              </w:rPr>
              <w:t>the</w:t>
            </w:r>
            <w:r>
              <w:rPr>
                <w:rFonts w:ascii="Arial"/>
                <w:i/>
                <w:spacing w:val="-6"/>
                <w:sz w:val="20"/>
              </w:rPr>
              <w:t xml:space="preserve"> </w:t>
            </w:r>
            <w:r>
              <w:rPr>
                <w:rFonts w:ascii="Arial"/>
                <w:i/>
                <w:spacing w:val="-2"/>
                <w:sz w:val="20"/>
              </w:rPr>
              <w:t>Owner)</w:t>
            </w:r>
          </w:p>
        </w:tc>
      </w:tr>
      <w:tr w:rsidR="009B7464" w14:paraId="0636CF5D" w14:textId="77777777">
        <w:trPr>
          <w:trHeight w:val="921"/>
        </w:trPr>
        <w:tc>
          <w:tcPr>
            <w:tcW w:w="2552" w:type="dxa"/>
          </w:tcPr>
          <w:p w14:paraId="67376C49" w14:textId="77777777" w:rsidR="009B7464" w:rsidRDefault="00000000">
            <w:pPr>
              <w:pStyle w:val="TableParagraph"/>
              <w:spacing w:line="229" w:lineRule="exact"/>
              <w:ind w:left="105"/>
              <w:rPr>
                <w:sz w:val="20"/>
              </w:rPr>
            </w:pPr>
            <w:r>
              <w:rPr>
                <w:spacing w:val="-2"/>
                <w:sz w:val="20"/>
              </w:rPr>
              <w:t>Address</w:t>
            </w:r>
          </w:p>
        </w:tc>
        <w:tc>
          <w:tcPr>
            <w:tcW w:w="5104" w:type="dxa"/>
          </w:tcPr>
          <w:p w14:paraId="54421545" w14:textId="7A1FE9F0" w:rsidR="009B7464" w:rsidRDefault="00000000">
            <w:pPr>
              <w:pStyle w:val="TableParagraph"/>
              <w:ind w:left="107" w:right="102"/>
              <w:jc w:val="both"/>
              <w:rPr>
                <w:sz w:val="20"/>
              </w:rPr>
            </w:pPr>
            <w:r>
              <w:rPr>
                <w:sz w:val="20"/>
              </w:rPr>
              <w:t>No. 158</w:t>
            </w:r>
            <w:r w:rsidR="00FA76C5">
              <w:rPr>
                <w:sz w:val="20"/>
              </w:rPr>
              <w:t>65</w:t>
            </w:r>
            <w:r>
              <w:rPr>
                <w:sz w:val="20"/>
              </w:rPr>
              <w:t xml:space="preserve">9, Lorong Utama </w:t>
            </w:r>
            <w:r w:rsidR="00FA76C5">
              <w:rPr>
                <w:sz w:val="20"/>
              </w:rPr>
              <w:t>8</w:t>
            </w:r>
            <w:r>
              <w:rPr>
                <w:sz w:val="20"/>
              </w:rPr>
              <w:t>, Kawasan Perusahaan Bukit Tengah, 14</w:t>
            </w:r>
            <w:r w:rsidR="00FA76C5">
              <w:rPr>
                <w:sz w:val="20"/>
              </w:rPr>
              <w:t>88</w:t>
            </w:r>
            <w:r>
              <w:rPr>
                <w:sz w:val="20"/>
              </w:rPr>
              <w:t xml:space="preserve">0 Bukit </w:t>
            </w:r>
            <w:proofErr w:type="spellStart"/>
            <w:r>
              <w:rPr>
                <w:sz w:val="20"/>
              </w:rPr>
              <w:t>Mertajam</w:t>
            </w:r>
            <w:proofErr w:type="spellEnd"/>
            <w:r>
              <w:rPr>
                <w:sz w:val="20"/>
              </w:rPr>
              <w:t>, Pulau Pinang</w:t>
            </w:r>
          </w:p>
        </w:tc>
      </w:tr>
      <w:tr w:rsidR="009B7464" w14:paraId="3B51EE50" w14:textId="77777777">
        <w:trPr>
          <w:trHeight w:val="460"/>
        </w:trPr>
        <w:tc>
          <w:tcPr>
            <w:tcW w:w="2552" w:type="dxa"/>
          </w:tcPr>
          <w:p w14:paraId="7FBDC759" w14:textId="77777777" w:rsidR="009B7464" w:rsidRDefault="00000000">
            <w:pPr>
              <w:pStyle w:val="TableParagraph"/>
              <w:spacing w:line="229" w:lineRule="exact"/>
              <w:ind w:left="105"/>
              <w:rPr>
                <w:sz w:val="20"/>
              </w:rPr>
            </w:pPr>
            <w:r>
              <w:rPr>
                <w:spacing w:val="-2"/>
                <w:sz w:val="20"/>
              </w:rPr>
              <w:t>Description/Use</w:t>
            </w:r>
          </w:p>
        </w:tc>
        <w:tc>
          <w:tcPr>
            <w:tcW w:w="5104" w:type="dxa"/>
          </w:tcPr>
          <w:p w14:paraId="2E9593C0" w14:textId="77777777" w:rsidR="009B7464" w:rsidRDefault="00000000">
            <w:pPr>
              <w:pStyle w:val="TableParagraph"/>
              <w:spacing w:line="229" w:lineRule="exact"/>
              <w:ind w:left="107"/>
              <w:rPr>
                <w:sz w:val="20"/>
              </w:rPr>
            </w:pPr>
            <w:r>
              <w:rPr>
                <w:sz w:val="20"/>
              </w:rPr>
              <w:t>A</w:t>
            </w:r>
            <w:r>
              <w:rPr>
                <w:spacing w:val="-7"/>
                <w:sz w:val="20"/>
              </w:rPr>
              <w:t xml:space="preserve"> </w:t>
            </w:r>
            <w:r>
              <w:rPr>
                <w:sz w:val="20"/>
              </w:rPr>
              <w:t>one-</w:t>
            </w:r>
            <w:proofErr w:type="spellStart"/>
            <w:r>
              <w:rPr>
                <w:sz w:val="20"/>
              </w:rPr>
              <w:t>storey</w:t>
            </w:r>
            <w:proofErr w:type="spellEnd"/>
            <w:r>
              <w:rPr>
                <w:spacing w:val="-6"/>
                <w:sz w:val="20"/>
              </w:rPr>
              <w:t xml:space="preserve"> </w:t>
            </w:r>
            <w:r>
              <w:rPr>
                <w:sz w:val="20"/>
              </w:rPr>
              <w:t>factory</w:t>
            </w:r>
            <w:r>
              <w:rPr>
                <w:spacing w:val="-4"/>
                <w:sz w:val="20"/>
              </w:rPr>
              <w:t xml:space="preserve"> </w:t>
            </w:r>
            <w:r>
              <w:rPr>
                <w:sz w:val="20"/>
              </w:rPr>
              <w:t>and</w:t>
            </w:r>
            <w:r>
              <w:rPr>
                <w:spacing w:val="-5"/>
                <w:sz w:val="20"/>
              </w:rPr>
              <w:t xml:space="preserve"> </w:t>
            </w:r>
            <w:r>
              <w:rPr>
                <w:sz w:val="20"/>
              </w:rPr>
              <w:t>a</w:t>
            </w:r>
            <w:r>
              <w:rPr>
                <w:spacing w:val="-2"/>
                <w:sz w:val="20"/>
              </w:rPr>
              <w:t xml:space="preserve"> </w:t>
            </w:r>
            <w:r>
              <w:rPr>
                <w:sz w:val="20"/>
              </w:rPr>
              <w:t>two-</w:t>
            </w:r>
            <w:proofErr w:type="spellStart"/>
            <w:r>
              <w:rPr>
                <w:sz w:val="20"/>
              </w:rPr>
              <w:t>storey</w:t>
            </w:r>
            <w:proofErr w:type="spellEnd"/>
            <w:r>
              <w:rPr>
                <w:spacing w:val="-5"/>
                <w:sz w:val="20"/>
              </w:rPr>
              <w:t xml:space="preserve"> </w:t>
            </w:r>
            <w:r>
              <w:rPr>
                <w:spacing w:val="-2"/>
                <w:sz w:val="20"/>
              </w:rPr>
              <w:t>office</w:t>
            </w:r>
          </w:p>
        </w:tc>
      </w:tr>
      <w:tr w:rsidR="009B7464" w14:paraId="69CCD2DA" w14:textId="77777777">
        <w:trPr>
          <w:trHeight w:val="688"/>
        </w:trPr>
        <w:tc>
          <w:tcPr>
            <w:tcW w:w="2552" w:type="dxa"/>
          </w:tcPr>
          <w:p w14:paraId="51304A6E" w14:textId="77777777" w:rsidR="009B7464" w:rsidRDefault="00000000">
            <w:pPr>
              <w:pStyle w:val="TableParagraph"/>
              <w:ind w:left="105"/>
              <w:rPr>
                <w:sz w:val="20"/>
              </w:rPr>
            </w:pPr>
            <w:r>
              <w:rPr>
                <w:sz w:val="20"/>
              </w:rPr>
              <w:t>Date(s)</w:t>
            </w:r>
            <w:r>
              <w:rPr>
                <w:spacing w:val="-13"/>
                <w:sz w:val="20"/>
              </w:rPr>
              <w:t xml:space="preserve"> </w:t>
            </w:r>
            <w:r>
              <w:rPr>
                <w:sz w:val="20"/>
              </w:rPr>
              <w:t>of</w:t>
            </w:r>
            <w:r>
              <w:rPr>
                <w:spacing w:val="-14"/>
                <w:sz w:val="20"/>
              </w:rPr>
              <w:t xml:space="preserve"> </w:t>
            </w:r>
            <w:r>
              <w:rPr>
                <w:sz w:val="20"/>
              </w:rPr>
              <w:t>Certificate(s)</w:t>
            </w:r>
            <w:r>
              <w:rPr>
                <w:spacing w:val="-13"/>
                <w:sz w:val="20"/>
              </w:rPr>
              <w:t xml:space="preserve"> </w:t>
            </w:r>
            <w:r>
              <w:rPr>
                <w:sz w:val="20"/>
              </w:rPr>
              <w:t>of Fitness for Occupation</w:t>
            </w:r>
          </w:p>
        </w:tc>
        <w:tc>
          <w:tcPr>
            <w:tcW w:w="5104" w:type="dxa"/>
          </w:tcPr>
          <w:p w14:paraId="44A42FDC" w14:textId="0B20C8CE" w:rsidR="009B7464" w:rsidRDefault="00000000">
            <w:pPr>
              <w:pStyle w:val="TableParagraph"/>
              <w:spacing w:line="229" w:lineRule="exact"/>
              <w:ind w:left="107"/>
              <w:rPr>
                <w:sz w:val="20"/>
              </w:rPr>
            </w:pPr>
            <w:r>
              <w:rPr>
                <w:sz w:val="20"/>
              </w:rPr>
              <w:t>11</w:t>
            </w:r>
            <w:r>
              <w:rPr>
                <w:spacing w:val="-5"/>
                <w:sz w:val="20"/>
              </w:rPr>
              <w:t xml:space="preserve"> </w:t>
            </w:r>
            <w:r>
              <w:rPr>
                <w:sz w:val="20"/>
              </w:rPr>
              <w:t>April</w:t>
            </w:r>
            <w:r>
              <w:rPr>
                <w:spacing w:val="-6"/>
                <w:sz w:val="20"/>
              </w:rPr>
              <w:t xml:space="preserve"> </w:t>
            </w:r>
            <w:r>
              <w:rPr>
                <w:sz w:val="20"/>
              </w:rPr>
              <w:t>1997</w:t>
            </w:r>
            <w:r>
              <w:rPr>
                <w:spacing w:val="-3"/>
                <w:sz w:val="20"/>
              </w:rPr>
              <w:t xml:space="preserve"> </w:t>
            </w:r>
            <w:r>
              <w:rPr>
                <w:sz w:val="20"/>
              </w:rPr>
              <w:t>and</w:t>
            </w:r>
            <w:r>
              <w:rPr>
                <w:spacing w:val="-2"/>
                <w:sz w:val="20"/>
              </w:rPr>
              <w:t xml:space="preserve"> </w:t>
            </w:r>
            <w:r>
              <w:rPr>
                <w:sz w:val="20"/>
              </w:rPr>
              <w:t>19</w:t>
            </w:r>
            <w:r>
              <w:rPr>
                <w:spacing w:val="-3"/>
                <w:sz w:val="20"/>
              </w:rPr>
              <w:t xml:space="preserve"> </w:t>
            </w:r>
            <w:r>
              <w:rPr>
                <w:sz w:val="20"/>
              </w:rPr>
              <w:t>August</w:t>
            </w:r>
            <w:r>
              <w:rPr>
                <w:spacing w:val="-5"/>
                <w:sz w:val="20"/>
              </w:rPr>
              <w:t xml:space="preserve"> </w:t>
            </w:r>
            <w:r>
              <w:rPr>
                <w:spacing w:val="-4"/>
                <w:sz w:val="20"/>
              </w:rPr>
              <w:t>200</w:t>
            </w:r>
            <w:r w:rsidR="00FA76C5">
              <w:rPr>
                <w:spacing w:val="-4"/>
                <w:sz w:val="20"/>
              </w:rPr>
              <w:t>4</w:t>
            </w:r>
          </w:p>
        </w:tc>
      </w:tr>
      <w:tr w:rsidR="009B7464" w14:paraId="16602B1A" w14:textId="77777777">
        <w:trPr>
          <w:trHeight w:val="460"/>
        </w:trPr>
        <w:tc>
          <w:tcPr>
            <w:tcW w:w="2552" w:type="dxa"/>
          </w:tcPr>
          <w:p w14:paraId="71C1DD6B" w14:textId="77777777" w:rsidR="009B7464" w:rsidRDefault="00000000">
            <w:pPr>
              <w:pStyle w:val="TableParagraph"/>
              <w:spacing w:line="229" w:lineRule="exact"/>
              <w:ind w:left="105"/>
              <w:rPr>
                <w:sz w:val="20"/>
              </w:rPr>
            </w:pPr>
            <w:r>
              <w:rPr>
                <w:sz w:val="20"/>
              </w:rPr>
              <w:t>Approximate</w:t>
            </w:r>
            <w:r>
              <w:rPr>
                <w:spacing w:val="-14"/>
                <w:sz w:val="20"/>
              </w:rPr>
              <w:t xml:space="preserve"> </w:t>
            </w:r>
            <w:r>
              <w:rPr>
                <w:sz w:val="20"/>
              </w:rPr>
              <w:t>built-up</w:t>
            </w:r>
            <w:r>
              <w:rPr>
                <w:spacing w:val="-11"/>
                <w:sz w:val="20"/>
              </w:rPr>
              <w:t xml:space="preserve"> </w:t>
            </w:r>
            <w:r>
              <w:rPr>
                <w:spacing w:val="-4"/>
                <w:sz w:val="20"/>
              </w:rPr>
              <w:t>area</w:t>
            </w:r>
          </w:p>
        </w:tc>
        <w:tc>
          <w:tcPr>
            <w:tcW w:w="5104" w:type="dxa"/>
          </w:tcPr>
          <w:p w14:paraId="3558451D" w14:textId="77777777" w:rsidR="009B7464" w:rsidRDefault="00000000">
            <w:pPr>
              <w:pStyle w:val="TableParagraph"/>
              <w:spacing w:line="229" w:lineRule="exact"/>
              <w:ind w:left="107"/>
              <w:rPr>
                <w:sz w:val="20"/>
              </w:rPr>
            </w:pPr>
            <w:r>
              <w:rPr>
                <w:sz w:val="20"/>
              </w:rPr>
              <w:t>29,753</w:t>
            </w:r>
            <w:r>
              <w:rPr>
                <w:spacing w:val="-5"/>
                <w:sz w:val="20"/>
              </w:rPr>
              <w:t xml:space="preserve"> </w:t>
            </w:r>
            <w:r>
              <w:rPr>
                <w:sz w:val="20"/>
              </w:rPr>
              <w:t>sq</w:t>
            </w:r>
            <w:r>
              <w:rPr>
                <w:spacing w:val="-5"/>
                <w:sz w:val="20"/>
              </w:rPr>
              <w:t xml:space="preserve"> ft</w:t>
            </w:r>
          </w:p>
        </w:tc>
      </w:tr>
    </w:tbl>
    <w:p w14:paraId="02623574" w14:textId="77777777" w:rsidR="009B7464" w:rsidRDefault="009B7464">
      <w:pPr>
        <w:pStyle w:val="BodyText"/>
        <w:spacing w:before="1"/>
      </w:pPr>
      <w:r/>
    </w:p>
    <w:p w14:paraId="0CA94EAD" w14:textId="77777777" w:rsidR="009B7464" w:rsidRDefault="00000000">
      <w:pPr>
        <w:pStyle w:val="ListParagraph"/>
        <w:numPr>
          <w:ilvl w:val="1"/>
          <w:numId w:val="4"/>
        </w:numPr>
        <w:tabs>
          <w:tab w:val="left" w:pos="1298"/>
        </w:tabs>
        <w:spacing w:before="1"/>
        <w:rPr>
          <w:sz w:val="20"/>
        </w:rPr>
      </w:pPr>
      <w:r>
        <w:t>Salient terms of the Term Sheet</w:t>
      </w:r>
    </w:p>
    <w:p w14:paraId="563C0AC8" w14:textId="77777777" w:rsidR="009B7464" w:rsidRDefault="00000000">
      <w:pPr>
        <w:pStyle w:val="ListParagraph"/>
        <w:numPr>
          <w:ilvl w:val="2"/>
          <w:numId w:val="4"/>
        </w:numPr>
        <w:tabs>
          <w:tab w:val="left" w:pos="2008"/>
        </w:tabs>
        <w:spacing w:before="228"/>
        <w:ind w:hanging="710"/>
        <w:rPr>
          <w:sz w:val="20"/>
        </w:rPr>
      </w:pPr>
      <w:r>
        <w:t>Price and Earnest Sum</w:t>
      </w:r>
    </w:p>
    <w:p w14:paraId="58767383" w14:textId="77777777" w:rsidR="009B7464" w:rsidRDefault="009B7464">
      <w:pPr>
        <w:pStyle w:val="BodyText"/>
        <w:spacing w:before="1"/>
      </w:pPr>
      <w:r/>
    </w:p>
    <w:p w14:paraId="533A437A" w14:textId="77777777" w:rsidR="009B7464" w:rsidRDefault="00000000">
      <w:pPr>
        <w:pStyle w:val="BodyText"/>
        <w:ind w:left="2008"/>
      </w:pPr>
      <w:r>
        <w:t>The offer price for the Property is Ringgit Malaysia Ten Million Two Hundred Thousand (RM10,200,000.00) (“Offer Price”).</w:t>
      </w:r>
    </w:p>
    <w:p w14:paraId="7D3B85D2" w14:textId="77777777" w:rsidR="009B7464" w:rsidRDefault="009B7464">
      <w:pPr>
        <w:pStyle w:val="BodyText"/>
        <w:spacing w:before="1"/>
      </w:pPr>
      <w:r/>
    </w:p>
    <w:p w14:paraId="6F89B5B5" w14:textId="74EF667F" w:rsidR="009B7464" w:rsidRDefault="00000000">
      <w:pPr>
        <w:pStyle w:val="ListParagraph"/>
        <w:numPr>
          <w:ilvl w:val="3"/>
          <w:numId w:val="4"/>
        </w:numPr>
        <w:tabs>
          <w:tab w:val="left" w:pos="2715"/>
          <w:tab w:val="left" w:pos="2717"/>
        </w:tabs>
        <w:ind w:right="23"/>
        <w:jc w:val="both"/>
        <w:rPr>
          <w:sz w:val="20"/>
        </w:rPr>
      </w:pPr>
      <w:r>
        <w:t>Upon receiving the Owner’s signed acceptance of the Term Sheet, ABC is agreeable to pay the sum of 1% of the Offer Price (“Earnest Sum”) to the Owner’s solicitors who shall hold the Earnest Sum as stakeholder pending the finalisation of the formal Sale and Purchase Agreement.</w:t>
      </w:r>
    </w:p>
    <w:p w14:paraId="110CDAAA" w14:textId="77777777" w:rsidR="009B7464" w:rsidRDefault="009B7464">
      <w:pPr>
        <w:pStyle w:val="BodyText"/>
      </w:pPr>
      <w:r/>
    </w:p>
    <w:p w14:paraId="352D739D" w14:textId="285F01EA" w:rsidR="009B7464" w:rsidRDefault="00000000">
      <w:pPr>
        <w:pStyle w:val="ListParagraph"/>
        <w:numPr>
          <w:ilvl w:val="3"/>
          <w:numId w:val="4"/>
        </w:numPr>
        <w:tabs>
          <w:tab w:val="left" w:pos="2715"/>
          <w:tab w:val="left" w:pos="2717"/>
        </w:tabs>
        <w:ind w:right="22"/>
        <w:jc w:val="both"/>
        <w:rPr>
          <w:sz w:val="20"/>
        </w:rPr>
      </w:pPr>
      <w:r>
        <w:t>Company XYZme to an agreement on the final terms thereof, the Earnest Sum shall be returned to ABC. The Earnest Sum shall be forfeited by the Owner as liquidated damages if ABC fails to sign the Sale and Purchase Agreement for any other reason other as aforesaid stated within Validity Period as defined in Section 2.2.9 hereinbelow.</w:t>
      </w:r>
    </w:p>
    <w:p w14:paraId="2BB92F4B" w14:textId="2861FE29" w:rsidR="009B7464" w:rsidRDefault="00000000">
      <w:pPr>
        <w:pStyle w:val="ListParagraph"/>
        <w:numPr>
          <w:ilvl w:val="3"/>
          <w:numId w:val="4"/>
        </w:numPr>
        <w:tabs>
          <w:tab w:val="left" w:pos="2715"/>
          <w:tab w:val="left" w:pos="2717"/>
        </w:tabs>
        <w:spacing w:before="228"/>
        <w:ind w:right="23"/>
        <w:jc w:val="both"/>
        <w:rPr>
          <w:sz w:val="20"/>
        </w:rPr>
      </w:pPr>
      <w:r>
        <w:t>If the Owner and ABC proceed to sign the formal Sale and Purchase Agreement, the Earnest Sum shall form part of the deposit of 10% of the purchase price (“Deposit”) to be paid to the Owner upon signing of the Sale and Purchase Agreement.</w:t>
      </w:r>
    </w:p>
    <w:p w14:paraId="7A58213E" w14:textId="77777777" w:rsidR="009B7464" w:rsidRDefault="009B7464">
      <w:pPr>
        <w:pStyle w:val="BodyText"/>
        <w:spacing w:before="2"/>
      </w:pPr>
      <w:r/>
    </w:p>
    <w:p w14:paraId="22002EED" w14:textId="4E993BBE" w:rsidR="009B7464" w:rsidRDefault="00D7312E">
      <w:pPr>
        <w:pStyle w:val="ListParagraph"/>
        <w:numPr>
          <w:ilvl w:val="3"/>
          <w:numId w:val="4"/>
        </w:numPr>
        <w:tabs>
          <w:tab w:val="left" w:pos="2715"/>
          <w:tab w:val="left" w:pos="2717"/>
        </w:tabs>
        <w:spacing w:before="1"/>
        <w:ind w:right="26"/>
        <w:jc w:val="both"/>
        <w:rPr>
          <w:sz w:val="20"/>
        </w:rPr>
      </w:pPr>
      <w:r>
        <w:t>Company XYZnstitute the Deposit to the Owner’s solicitors.</w:t>
      </w:r>
    </w:p>
    <w:p w14:paraId="7C15070C" w14:textId="77777777" w:rsidR="009B7464" w:rsidRDefault="009B7464">
      <w:pPr>
        <w:pStyle w:val="ListParagraph"/>
        <w:jc w:val="both"/>
        <w:rPr>
          <w:sz w:val="20"/>
        </w:rPr>
        <w:sectPr w:rsidR="009B7464">
          <w:pgSz w:w="11930" w:h="16860"/>
          <w:pgMar w:top="1800" w:right="1417" w:bottom="2060" w:left="1275" w:header="1065" w:footer="1874" w:gutter="0"/>
          <w:cols w:space="720"/>
        </w:sectPr>
      </w:pPr>
      <w:r/>
    </w:p>
    <w:p w14:paraId="4DBC461A" w14:textId="77777777" w:rsidR="009B7464" w:rsidRDefault="00000000">
      <w:pPr>
        <w:pStyle w:val="ListParagraph"/>
        <w:numPr>
          <w:ilvl w:val="3"/>
          <w:numId w:val="4"/>
        </w:numPr>
        <w:tabs>
          <w:tab w:val="left" w:pos="2715"/>
          <w:tab w:val="left" w:pos="2717"/>
        </w:tabs>
        <w:spacing w:before="82"/>
        <w:ind w:right="19"/>
        <w:jc w:val="both"/>
        <w:rPr>
          <w:sz w:val="20"/>
        </w:rPr>
      </w:pPr>
      <w:r>
        <w:t>The Owner’Company XYZmpletion such as the Relevant Authority’Company XYZnditions precedent are satisfied is referred to as “Unconditional Date”.</w:t>
      </w:r>
    </w:p>
    <w:p w14:paraId="4ADA3F44" w14:textId="6DB73C45" w:rsidR="009B7464" w:rsidRDefault="00000000">
      <w:pPr>
        <w:pStyle w:val="ListParagraph"/>
        <w:numPr>
          <w:ilvl w:val="2"/>
          <w:numId w:val="4"/>
        </w:numPr>
        <w:tabs>
          <w:tab w:val="left" w:pos="2014"/>
          <w:tab w:val="left" w:pos="2018"/>
        </w:tabs>
        <w:spacing w:before="183"/>
        <w:ind w:left="2018" w:right="54" w:hanging="720"/>
        <w:jc w:val="both"/>
        <w:rPr>
          <w:sz w:val="20"/>
        </w:rPr>
      </w:pPr>
      <w:r>
        <w:t>The balance of the purchase price equivalent to 90% of the Offer Price shall be paid to the Owner’Company XYZnditional Date with an extension of 1 month provided always that subject to the terms of the Sale and Purchase Agreement, ABC shall pay to the Owner, interest on the balance purchase price or any part thereof remaining unpaid at the rate of 6% Company XYZmpletion period stated above.</w:t>
      </w:r>
    </w:p>
    <w:p w14:paraId="31B9FC28" w14:textId="77777777" w:rsidR="009B7464" w:rsidRDefault="009B7464">
      <w:pPr>
        <w:pStyle w:val="BodyText"/>
        <w:spacing w:before="2"/>
      </w:pPr>
      <w:r/>
    </w:p>
    <w:p w14:paraId="470B45F3" w14:textId="77777777" w:rsidR="009B7464" w:rsidRDefault="00000000">
      <w:pPr>
        <w:pStyle w:val="ListParagraph"/>
        <w:numPr>
          <w:ilvl w:val="2"/>
          <w:numId w:val="4"/>
        </w:numPr>
        <w:tabs>
          <w:tab w:val="left" w:pos="2018"/>
        </w:tabs>
        <w:ind w:left="2018" w:hanging="720"/>
        <w:rPr>
          <w:sz w:val="20"/>
        </w:rPr>
      </w:pPr>
      <w:r>
        <w:t>Conditions relating to Land title and building</w:t>
      </w:r>
    </w:p>
    <w:p w14:paraId="168756B1" w14:textId="77777777" w:rsidR="009B7464" w:rsidRDefault="00000000">
      <w:pPr>
        <w:pStyle w:val="ListParagraph"/>
        <w:numPr>
          <w:ilvl w:val="3"/>
          <w:numId w:val="4"/>
        </w:numPr>
        <w:tabs>
          <w:tab w:val="left" w:pos="2715"/>
          <w:tab w:val="left" w:pos="2717"/>
        </w:tabs>
        <w:spacing w:before="183"/>
        <w:ind w:right="21"/>
        <w:jc w:val="both"/>
        <w:rPr>
          <w:sz w:val="20"/>
        </w:rPr>
      </w:pPr>
      <w:r>
        <w:t>The Owner shall deduce a good registrable and title to the Property free from all encumbrances whatsoever.</w:t>
      </w:r>
    </w:p>
    <w:p w14:paraId="61158EDA" w14:textId="77777777" w:rsidR="009B7464" w:rsidRDefault="00000000">
      <w:pPr>
        <w:pStyle w:val="ListParagraph"/>
        <w:numPr>
          <w:ilvl w:val="3"/>
          <w:numId w:val="4"/>
        </w:numPr>
        <w:tabs>
          <w:tab w:val="left" w:pos="2715"/>
          <w:tab w:val="left" w:pos="2717"/>
        </w:tabs>
        <w:spacing w:before="185"/>
        <w:ind w:right="30"/>
        <w:jc w:val="both"/>
        <w:rPr>
          <w:sz w:val="20"/>
        </w:rPr>
      </w:pPr>
      <w:r>
        <w:t>Company XYZst and expense.</w:t>
      </w:r>
    </w:p>
    <w:p w14:paraId="13163723" w14:textId="77777777" w:rsidR="009B7464" w:rsidRDefault="00000000">
      <w:pPr>
        <w:pStyle w:val="ListParagraph"/>
        <w:numPr>
          <w:ilvl w:val="3"/>
          <w:numId w:val="4"/>
        </w:numPr>
        <w:tabs>
          <w:tab w:val="left" w:pos="2715"/>
          <w:tab w:val="left" w:pos="2717"/>
        </w:tabs>
        <w:spacing w:before="184"/>
        <w:ind w:right="26"/>
        <w:jc w:val="both"/>
        <w:rPr>
          <w:sz w:val="20"/>
        </w:rPr>
      </w:pPr>
      <w:r>
        <w:t>Company XYZntained in the document of title.</w:t>
      </w:r>
    </w:p>
    <w:p w14:paraId="564DE971" w14:textId="77777777" w:rsidR="009B7464" w:rsidRDefault="00000000">
      <w:pPr>
        <w:pStyle w:val="ListParagraph"/>
        <w:numPr>
          <w:ilvl w:val="3"/>
          <w:numId w:val="4"/>
        </w:numPr>
        <w:tabs>
          <w:tab w:val="left" w:pos="2715"/>
          <w:tab w:val="left" w:pos="2717"/>
        </w:tabs>
        <w:spacing w:before="183"/>
        <w:ind w:right="27"/>
        <w:jc w:val="both"/>
        <w:rPr>
          <w:sz w:val="20"/>
        </w:rPr>
      </w:pPr>
      <w:r>
        <w:t>The Factory building(s) Company XYZmpliance with the plans approved by the authorities and have been issued with valid Certificate(s) of Fitness for Occupation, and there are no illegal or unapproved modifications or extension being effected on the Property.</w:t>
      </w:r>
    </w:p>
    <w:p w14:paraId="060188F1" w14:textId="77777777" w:rsidR="009B7464" w:rsidRDefault="00000000">
      <w:pPr>
        <w:pStyle w:val="ListParagraph"/>
        <w:numPr>
          <w:ilvl w:val="3"/>
          <w:numId w:val="4"/>
        </w:numPr>
        <w:tabs>
          <w:tab w:val="left" w:pos="2715"/>
          <w:tab w:val="left" w:pos="2717"/>
        </w:tabs>
        <w:spacing w:before="185"/>
        <w:ind w:right="23"/>
        <w:jc w:val="both"/>
        <w:rPr>
          <w:sz w:val="20"/>
        </w:rPr>
      </w:pPr>
      <w:r>
        <w:t>There are no easement or caveat or prohibitory order or foreclosure or order for sale or forfeiture or attachment or claims adversely affecting the rights, ownership or possession of the Owner of the Property.</w:t>
      </w:r>
    </w:p>
    <w:p w14:paraId="03EF46D1" w14:textId="77777777" w:rsidR="009B7464" w:rsidRDefault="00000000">
      <w:pPr>
        <w:pStyle w:val="ListParagraph"/>
        <w:numPr>
          <w:ilvl w:val="2"/>
          <w:numId w:val="4"/>
        </w:numPr>
        <w:tabs>
          <w:tab w:val="left" w:pos="2018"/>
        </w:tabs>
        <w:spacing w:before="229"/>
        <w:ind w:left="2018" w:hanging="720"/>
        <w:rPr>
          <w:sz w:val="20"/>
        </w:rPr>
      </w:pPr>
      <w:r>
        <w:t>Vacant possession of Property</w:t>
      </w:r>
    </w:p>
    <w:p w14:paraId="0D7C7B6C" w14:textId="1644A6D1" w:rsidR="009B7464" w:rsidRDefault="00000000">
      <w:pPr>
        <w:pStyle w:val="BodyText"/>
        <w:spacing w:before="185"/>
        <w:ind w:left="2008" w:right="26"/>
        <w:jc w:val="both"/>
      </w:pPr>
      <w:r>
        <w:t>Company XYZmpletion of the sale and purchase transaction. There is currently no tenant or lessee in respect of the Property.</w:t>
      </w:r>
    </w:p>
    <w:p w14:paraId="7B979A40" w14:textId="77777777" w:rsidR="009B7464" w:rsidRDefault="00000000">
      <w:pPr>
        <w:pStyle w:val="ListParagraph"/>
        <w:numPr>
          <w:ilvl w:val="2"/>
          <w:numId w:val="4"/>
        </w:numPr>
        <w:tabs>
          <w:tab w:val="left" w:pos="2018"/>
        </w:tabs>
        <w:spacing w:before="229"/>
        <w:ind w:left="2018" w:hanging="720"/>
        <w:rPr>
          <w:sz w:val="20"/>
        </w:rPr>
      </w:pPr>
      <w:r>
        <w:t>Company XYZnsents</w:t>
      </w:r>
    </w:p>
    <w:p w14:paraId="0205760D" w14:textId="0B3D5AB3" w:rsidR="009B7464" w:rsidRDefault="00000000">
      <w:pPr>
        <w:pStyle w:val="BodyText"/>
        <w:spacing w:before="186"/>
        <w:ind w:left="2008" w:right="20"/>
        <w:jc w:val="both"/>
      </w:pPr>
      <w:r>
        <w:t>Company XYZnsent(s) of the relevant State authority(ies) Company XYZmpliance with the restriction-in-interest endorsed on the document of title to the Property or the applicable laws (“Relevant Authority’s Consent”).</w:t>
      </w:r>
    </w:p>
    <w:p w14:paraId="268E7A4F" w14:textId="77777777" w:rsidR="009B7464" w:rsidRDefault="009B7464">
      <w:pPr>
        <w:pStyle w:val="BodyText"/>
      </w:pPr>
      <w:r/>
    </w:p>
    <w:p w14:paraId="42F6FB46" w14:textId="77777777" w:rsidR="009B7464" w:rsidRDefault="00000000">
      <w:pPr>
        <w:pStyle w:val="ListParagraph"/>
        <w:numPr>
          <w:ilvl w:val="2"/>
          <w:numId w:val="4"/>
        </w:numPr>
        <w:tabs>
          <w:tab w:val="left" w:pos="2018"/>
        </w:tabs>
        <w:ind w:left="2018" w:hanging="720"/>
        <w:rPr>
          <w:sz w:val="20"/>
        </w:rPr>
      </w:pPr>
      <w:r>
        <w:t>Nature of Term Sheet</w:t>
      </w:r>
    </w:p>
    <w:p w14:paraId="18127D5B" w14:textId="77777777" w:rsidR="009B7464" w:rsidRDefault="00000000">
      <w:pPr>
        <w:pStyle w:val="ListParagraph"/>
        <w:numPr>
          <w:ilvl w:val="3"/>
          <w:numId w:val="4"/>
        </w:numPr>
        <w:tabs>
          <w:tab w:val="left" w:pos="2715"/>
          <w:tab w:val="left" w:pos="2717"/>
        </w:tabs>
        <w:spacing w:before="183"/>
        <w:ind w:right="23"/>
        <w:jc w:val="both"/>
        <w:rPr>
          <w:sz w:val="20"/>
        </w:rPr>
      </w:pPr>
      <w:r>
        <w:t>Company XYZnditions of the agreement between the Parties in respect of the Property and shall bind the Parties until the Sale and Purchase Agreement is executed by all Parties.</w:t>
      </w:r>
    </w:p>
    <w:p w14:paraId="185FC621" w14:textId="77777777" w:rsidR="009B7464" w:rsidRDefault="009B7464">
      <w:pPr>
        <w:pStyle w:val="ListParagraph"/>
        <w:jc w:val="both"/>
        <w:rPr>
          <w:sz w:val="20"/>
        </w:rPr>
        <w:sectPr w:rsidR="009B7464">
          <w:pgSz w:w="11930" w:h="16860"/>
          <w:pgMar w:top="1800" w:right="1417" w:bottom="2060" w:left="1275" w:header="1065" w:footer="1874" w:gutter="0"/>
          <w:cols w:space="720"/>
        </w:sectPr>
      </w:pPr>
      <w:r/>
    </w:p>
    <w:p w14:paraId="2D40B110" w14:textId="77777777" w:rsidR="009B7464" w:rsidRDefault="009B7464">
      <w:pPr>
        <w:pStyle w:val="BodyText"/>
        <w:spacing w:before="83"/>
      </w:pPr>
      <w:r/>
    </w:p>
    <w:p w14:paraId="25D57AD2" w14:textId="77777777" w:rsidR="009B7464" w:rsidRDefault="00000000">
      <w:pPr>
        <w:pStyle w:val="ListParagraph"/>
        <w:numPr>
          <w:ilvl w:val="3"/>
          <w:numId w:val="4"/>
        </w:numPr>
        <w:tabs>
          <w:tab w:val="left" w:pos="2715"/>
          <w:tab w:val="left" w:pos="2717"/>
        </w:tabs>
        <w:ind w:right="20"/>
        <w:jc w:val="both"/>
        <w:rPr>
          <w:rFonts w:ascii="Arial"/>
          <w:i/>
          <w:sz w:val="20"/>
        </w:rPr>
      </w:pPr>
      <w:r>
        <w:t>Company XYZnditions usual and customary in a transaction of similar nature.</w:t>
      </w:r>
    </w:p>
    <w:p w14:paraId="09D5931F" w14:textId="77777777" w:rsidR="009B7464" w:rsidRDefault="00000000">
      <w:pPr>
        <w:pStyle w:val="ListParagraph"/>
        <w:numPr>
          <w:ilvl w:val="3"/>
          <w:numId w:val="4"/>
        </w:numPr>
        <w:tabs>
          <w:tab w:val="left" w:pos="2715"/>
          <w:tab w:val="left" w:pos="2717"/>
        </w:tabs>
        <w:spacing w:before="230"/>
        <w:ind w:right="21"/>
        <w:jc w:val="both"/>
        <w:rPr>
          <w:sz w:val="20"/>
        </w:rPr>
      </w:pPr>
      <w:r>
        <w:t>Company XYZnciliations or other agreed means.</w:t>
      </w:r>
    </w:p>
    <w:p w14:paraId="6179D504" w14:textId="77777777" w:rsidR="009B7464" w:rsidRDefault="009B7464">
      <w:pPr>
        <w:pStyle w:val="BodyText"/>
      </w:pPr>
      <w:r/>
    </w:p>
    <w:p w14:paraId="19EDE29B" w14:textId="77777777" w:rsidR="009B7464" w:rsidRDefault="00000000">
      <w:pPr>
        <w:pStyle w:val="ListParagraph"/>
        <w:numPr>
          <w:ilvl w:val="2"/>
          <w:numId w:val="4"/>
        </w:numPr>
        <w:tabs>
          <w:tab w:val="left" w:pos="2018"/>
        </w:tabs>
        <w:ind w:left="2018" w:hanging="720"/>
        <w:rPr>
          <w:sz w:val="20"/>
        </w:rPr>
      </w:pPr>
      <w:r>
        <w:t>Costs</w:t>
      </w:r>
    </w:p>
    <w:p w14:paraId="561B1A37" w14:textId="77777777" w:rsidR="009B7464" w:rsidRDefault="00000000">
      <w:pPr>
        <w:pStyle w:val="BodyText"/>
        <w:spacing w:before="229"/>
        <w:ind w:left="2008"/>
      </w:pPr>
      <w:r>
        <w:t>Each Party shall bear its own solicitor'Company XYZidental thereto.</w:t>
      </w:r>
    </w:p>
    <w:p w14:paraId="68C99BE0" w14:textId="77777777" w:rsidR="009B7464" w:rsidRDefault="009B7464">
      <w:pPr>
        <w:pStyle w:val="BodyText"/>
        <w:spacing w:before="1"/>
      </w:pPr>
      <w:r/>
    </w:p>
    <w:p w14:paraId="196DCFCC" w14:textId="77777777" w:rsidR="009B7464" w:rsidRDefault="00000000">
      <w:pPr>
        <w:pStyle w:val="ListParagraph"/>
        <w:numPr>
          <w:ilvl w:val="2"/>
          <w:numId w:val="4"/>
        </w:numPr>
        <w:tabs>
          <w:tab w:val="left" w:pos="2018"/>
        </w:tabs>
        <w:ind w:left="2018" w:hanging="720"/>
        <w:rPr>
          <w:sz w:val="20"/>
        </w:rPr>
      </w:pPr>
      <w:r>
        <w:t>Governing law</w:t>
      </w:r>
    </w:p>
    <w:p w14:paraId="24C97C69" w14:textId="77777777" w:rsidR="009B7464" w:rsidRDefault="00000000">
      <w:pPr>
        <w:pStyle w:val="BodyText"/>
        <w:spacing w:before="228"/>
        <w:ind w:left="2008"/>
      </w:pPr>
      <w:r>
        <w:t>Company XYZrdance with the laws of Malaysia.</w:t>
      </w:r>
    </w:p>
    <w:p w14:paraId="60B67D91" w14:textId="77777777" w:rsidR="009B7464" w:rsidRDefault="009B7464">
      <w:pPr>
        <w:pStyle w:val="BodyText"/>
        <w:spacing w:before="2"/>
      </w:pPr>
      <w:r/>
    </w:p>
    <w:p w14:paraId="53FC1112" w14:textId="77777777" w:rsidR="009B7464" w:rsidRDefault="00000000">
      <w:pPr>
        <w:pStyle w:val="ListParagraph"/>
        <w:numPr>
          <w:ilvl w:val="2"/>
          <w:numId w:val="4"/>
        </w:numPr>
        <w:tabs>
          <w:tab w:val="left" w:pos="2018"/>
        </w:tabs>
        <w:ind w:left="2018" w:hanging="720"/>
        <w:rPr>
          <w:sz w:val="20"/>
        </w:rPr>
      </w:pPr>
      <w:r>
        <w:t>Validity period</w:t>
      </w:r>
    </w:p>
    <w:p w14:paraId="0827C0E0" w14:textId="77777777" w:rsidR="009B7464" w:rsidRDefault="009B7464">
      <w:pPr>
        <w:pStyle w:val="BodyText"/>
        <w:spacing w:before="1"/>
      </w:pPr>
      <w:r/>
    </w:p>
    <w:p w14:paraId="781F02F9" w14:textId="77777777" w:rsidR="009B7464" w:rsidRDefault="00000000">
      <w:pPr>
        <w:pStyle w:val="BodyText"/>
        <w:ind w:left="2008" w:right="20"/>
        <w:jc w:val="both"/>
      </w:pPr>
      <w:r>
        <w:t>The Term Sheet will remain in effect until the earlier date of the date of execution of the Sale and Purchase Agreement or the expiry date of 30 days from the date of the Term Sheet (“Validity Period”). Company XYZmpanies shall not grant any right or sell to, or negotiate with, any other person with respect to the Property.</w:t>
      </w:r>
    </w:p>
    <w:p w14:paraId="58C21419" w14:textId="77777777" w:rsidR="009B7464" w:rsidRDefault="009B7464">
      <w:pPr>
        <w:pStyle w:val="BodyText"/>
        <w:spacing w:before="228"/>
      </w:pPr>
      <w:r/>
    </w:p>
    <w:p w14:paraId="2889F6D9" w14:textId="77777777" w:rsidR="009B7464" w:rsidRDefault="00000000">
      <w:pPr>
        <w:pStyle w:val="Heading1"/>
        <w:numPr>
          <w:ilvl w:val="0"/>
          <w:numId w:val="2"/>
        </w:numPr>
        <w:tabs>
          <w:tab w:val="left" w:pos="731"/>
        </w:tabs>
        <w:ind w:hanging="566"/>
      </w:pPr>
      <w:r>
        <w:t>BASIS AND JUSTIFICATION OF THE OFFER PRICE</w:t>
      </w:r>
    </w:p>
    <w:p w14:paraId="4FCFAEA9" w14:textId="77777777" w:rsidR="009B7464" w:rsidRDefault="009B7464">
      <w:pPr>
        <w:pStyle w:val="BodyText"/>
        <w:spacing w:before="1"/>
        <w:rPr>
          <w:rFonts w:ascii="Arial"/>
          <w:b/>
        </w:rPr>
      </w:pPr>
      <w:r/>
    </w:p>
    <w:p w14:paraId="6D6C5C56" w14:textId="77777777" w:rsidR="009B7464" w:rsidRDefault="00000000">
      <w:pPr>
        <w:pStyle w:val="BodyText"/>
        <w:ind w:left="731" w:firstLine="2"/>
      </w:pPr>
      <w:r>
        <w:t>The Offer Price was arrived on a “wiling-buyer willing-seller” Company XYZnsideration the following:</w:t>
      </w:r>
    </w:p>
    <w:p w14:paraId="711F525D" w14:textId="77777777" w:rsidR="009B7464" w:rsidRDefault="00000000">
      <w:pPr>
        <w:pStyle w:val="ListParagraph"/>
        <w:numPr>
          <w:ilvl w:val="0"/>
          <w:numId w:val="1"/>
        </w:numPr>
        <w:tabs>
          <w:tab w:val="left" w:pos="1295"/>
          <w:tab w:val="left" w:pos="1298"/>
        </w:tabs>
        <w:spacing w:before="229"/>
        <w:ind w:right="21"/>
        <w:jc w:val="both"/>
        <w:rPr>
          <w:sz w:val="20"/>
        </w:rPr>
      </w:pPr>
      <w:r>
        <w:t>the value of the Property of RM342.82 per sq ft (computed based on Offer Price divided by the built-up size of the Factory) is within the range of RM333 per sq ft to RM554 per sq ft, being the selling price per sq ft of industrial properties located within the proximity of the Property as quoted on various property websites; and</w:t>
      </w:r>
    </w:p>
    <w:p w14:paraId="59A7B531" w14:textId="77777777" w:rsidR="009B7464" w:rsidRDefault="009B7464">
      <w:pPr>
        <w:pStyle w:val="BodyText"/>
        <w:spacing w:before="2"/>
      </w:pPr>
      <w:r/>
    </w:p>
    <w:p w14:paraId="11DEF8F0" w14:textId="77777777" w:rsidR="009B7464" w:rsidRDefault="00000000">
      <w:pPr>
        <w:pStyle w:val="ListParagraph"/>
        <w:numPr>
          <w:ilvl w:val="0"/>
          <w:numId w:val="1"/>
        </w:numPr>
        <w:tabs>
          <w:tab w:val="left" w:pos="1298"/>
        </w:tabs>
        <w:rPr>
          <w:sz w:val="20"/>
        </w:rPr>
      </w:pPr>
      <w:r>
        <w:t>the rationale of the Proposed Acquisition as set out in Section 5 below.</w:t>
      </w:r>
    </w:p>
    <w:p w14:paraId="3200C463" w14:textId="77777777" w:rsidR="009B7464" w:rsidRDefault="00000000">
      <w:pPr>
        <w:pStyle w:val="BodyText"/>
        <w:spacing w:before="229"/>
        <w:ind w:left="734"/>
      </w:pPr>
      <w:r>
        <w:t>The Board is of the view that the Offer Price is fair and justifiable.</w:t>
      </w:r>
    </w:p>
    <w:p w14:paraId="627AE274" w14:textId="77777777" w:rsidR="009B7464" w:rsidRDefault="009B7464">
      <w:pPr>
        <w:pStyle w:val="BodyText"/>
        <w:sectPr w:rsidR="009B7464">
          <w:pgSz w:w="11930" w:h="16860"/>
          <w:pgMar w:top="1800" w:right="1417" w:bottom="2060" w:left="1275" w:header="1065" w:footer="1874" w:gutter="0"/>
          <w:cols w:space="720"/>
        </w:sectPr>
      </w:pPr>
      <w:r/>
    </w:p>
    <w:p w14:paraId="1F4E69D7" w14:textId="77777777" w:rsidR="009B7464" w:rsidRDefault="00000000">
      <w:pPr>
        <w:pStyle w:val="Heading1"/>
        <w:numPr>
          <w:ilvl w:val="0"/>
          <w:numId w:val="2"/>
        </w:numPr>
        <w:tabs>
          <w:tab w:val="left" w:pos="731"/>
        </w:tabs>
        <w:spacing w:before="82"/>
        <w:ind w:hanging="566"/>
      </w:pPr>
      <w:r>
        <w:t>INFORMATION ON THE PARTIES</w:t>
      </w:r>
    </w:p>
    <w:p w14:paraId="1E3F0D96" w14:textId="77777777" w:rsidR="009B7464" w:rsidRDefault="00000000">
      <w:pPr>
        <w:pStyle w:val="ListParagraph"/>
        <w:numPr>
          <w:ilvl w:val="1"/>
          <w:numId w:val="2"/>
        </w:numPr>
        <w:tabs>
          <w:tab w:val="left" w:pos="1298"/>
        </w:tabs>
        <w:spacing w:before="229"/>
        <w:rPr>
          <w:sz w:val="20"/>
        </w:rPr>
      </w:pPr>
      <w:r>
        <w:t>The Owner</w:t>
      </w:r>
    </w:p>
    <w:p w14:paraId="73F8FAF9" w14:textId="77777777" w:rsidR="009B7464" w:rsidRDefault="009B7464">
      <w:pPr>
        <w:pStyle w:val="BodyText"/>
        <w:spacing w:before="1"/>
      </w:pPr>
      <w:r/>
    </w:p>
    <w:p w14:paraId="31C1073D" w14:textId="7EFDDABC" w:rsidR="009B7464" w:rsidRDefault="00000000">
      <w:pPr>
        <w:pStyle w:val="BodyText"/>
        <w:ind w:left="1298" w:right="60" w:hanging="10"/>
        <w:jc w:val="both"/>
      </w:pPr>
      <w:r>
        <w:t>Company XYZmpany.</w:t>
      </w:r>
    </w:p>
    <w:p w14:paraId="553F6E79" w14:textId="77777777" w:rsidR="009B7464" w:rsidRDefault="009B7464">
      <w:pPr>
        <w:pStyle w:val="BodyText"/>
        <w:spacing w:before="1"/>
      </w:pPr>
      <w:r/>
    </w:p>
    <w:p w14:paraId="7D7E0473" w14:textId="77777777" w:rsidR="009B7464" w:rsidRDefault="00000000">
      <w:pPr>
        <w:pStyle w:val="BodyText"/>
        <w:ind w:left="1298" w:right="52" w:hanging="10"/>
        <w:jc w:val="both"/>
      </w:pPr>
      <w:r>
        <w:t>Company XYZmprising 1,000,000 ordinary shares. The existing shareholders and directors of the Owner are as follows:</w:t>
      </w:r>
    </w:p>
    <w:p w14:paraId="667DB094" w14:textId="77777777" w:rsidR="009B7464" w:rsidRDefault="009B7464">
      <w:pPr>
        <w:pStyle w:val="BodyText"/>
        <w:spacing w:before="11"/>
        <w:rPr>
          <w:sz w:val="19"/>
        </w:rPr>
      </w:pPr>
      <w: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5"/>
        <w:gridCol w:w="1798"/>
        <w:gridCol w:w="1265"/>
        <w:gridCol w:w="1335"/>
        <w:gridCol w:w="1078"/>
        <w:gridCol w:w="788"/>
      </w:tblGrid>
      <w:tr w:rsidR="009B7464" w14:paraId="6614E2C4" w14:textId="77777777">
        <w:trPr>
          <w:trHeight w:val="230"/>
        </w:trPr>
        <w:tc>
          <w:tcPr>
            <w:tcW w:w="1635" w:type="dxa"/>
            <w:vMerge w:val="restart"/>
          </w:tcPr>
          <w:p w14:paraId="7EEC00E4" w14:textId="77777777" w:rsidR="009B7464" w:rsidRDefault="009B7464">
            <w:pPr>
              <w:pStyle w:val="TableParagraph"/>
              <w:rPr>
                <w:sz w:val="20"/>
              </w:rPr>
            </w:pPr>
          </w:p>
          <w:p w14:paraId="3EEB36F2" w14:textId="77777777" w:rsidR="009B7464" w:rsidRDefault="009B7464">
            <w:pPr>
              <w:pStyle w:val="TableParagraph"/>
              <w:rPr>
                <w:sz w:val="20"/>
              </w:rPr>
            </w:pPr>
          </w:p>
          <w:p w14:paraId="60A7AF2A" w14:textId="77777777" w:rsidR="009B7464" w:rsidRDefault="009B7464">
            <w:pPr>
              <w:pStyle w:val="TableParagraph"/>
              <w:rPr>
                <w:sz w:val="20"/>
              </w:rPr>
            </w:pPr>
          </w:p>
          <w:p w14:paraId="1BF7C284" w14:textId="77777777" w:rsidR="009B7464" w:rsidRDefault="00000000">
            <w:pPr>
              <w:pStyle w:val="TableParagraph"/>
              <w:spacing w:line="220" w:lineRule="exact"/>
              <w:ind w:left="107"/>
              <w:rPr>
                <w:rFonts w:ascii="Arial"/>
                <w:b/>
                <w:sz w:val="20"/>
              </w:rPr>
            </w:pPr>
            <w:r>
              <w:rPr>
                <w:rFonts w:ascii="Arial"/>
                <w:b/>
                <w:spacing w:val="-4"/>
                <w:sz w:val="20"/>
              </w:rPr>
              <w:t>Name</w:t>
            </w:r>
          </w:p>
        </w:tc>
        <w:tc>
          <w:tcPr>
            <w:tcW w:w="1798" w:type="dxa"/>
            <w:vMerge w:val="restart"/>
          </w:tcPr>
          <w:p w14:paraId="0AEDF6C8" w14:textId="77777777" w:rsidR="009B7464" w:rsidRDefault="009B7464">
            <w:pPr>
              <w:pStyle w:val="TableParagraph"/>
              <w:rPr>
                <w:sz w:val="20"/>
              </w:rPr>
            </w:pPr>
          </w:p>
          <w:p w14:paraId="66210C4E" w14:textId="77777777" w:rsidR="009B7464" w:rsidRDefault="009B7464">
            <w:pPr>
              <w:pStyle w:val="TableParagraph"/>
              <w:rPr>
                <w:sz w:val="20"/>
              </w:rPr>
            </w:pPr>
          </w:p>
          <w:p w14:paraId="1CE1E847" w14:textId="77777777" w:rsidR="009B7464" w:rsidRDefault="009B7464">
            <w:pPr>
              <w:pStyle w:val="TableParagraph"/>
              <w:rPr>
                <w:sz w:val="20"/>
              </w:rPr>
            </w:pPr>
          </w:p>
          <w:p w14:paraId="21989A67" w14:textId="77777777" w:rsidR="009B7464" w:rsidRDefault="00000000">
            <w:pPr>
              <w:pStyle w:val="TableParagraph"/>
              <w:spacing w:line="220" w:lineRule="exact"/>
              <w:ind w:left="107"/>
              <w:rPr>
                <w:rFonts w:ascii="Arial"/>
                <w:b/>
                <w:sz w:val="20"/>
              </w:rPr>
            </w:pPr>
            <w:r>
              <w:rPr>
                <w:rFonts w:ascii="Arial"/>
                <w:b/>
                <w:spacing w:val="-2"/>
                <w:sz w:val="20"/>
              </w:rPr>
              <w:t>Nationality</w:t>
            </w:r>
          </w:p>
        </w:tc>
        <w:tc>
          <w:tcPr>
            <w:tcW w:w="2600" w:type="dxa"/>
            <w:gridSpan w:val="2"/>
          </w:tcPr>
          <w:p w14:paraId="76681424" w14:textId="77777777" w:rsidR="009B7464" w:rsidRDefault="00000000">
            <w:pPr>
              <w:pStyle w:val="TableParagraph"/>
              <w:spacing w:line="210" w:lineRule="exact"/>
              <w:ind w:right="28"/>
              <w:jc w:val="center"/>
              <w:rPr>
                <w:rFonts w:ascii="Arial"/>
                <w:b/>
                <w:sz w:val="20"/>
              </w:rPr>
            </w:pPr>
            <w:r>
              <w:rPr>
                <w:rFonts w:ascii="Arial"/>
                <w:b/>
                <w:spacing w:val="-2"/>
                <w:sz w:val="20"/>
              </w:rPr>
              <w:t>Direct</w:t>
            </w:r>
          </w:p>
        </w:tc>
        <w:tc>
          <w:tcPr>
            <w:tcW w:w="1866" w:type="dxa"/>
            <w:gridSpan w:val="2"/>
          </w:tcPr>
          <w:p w14:paraId="11D9A829" w14:textId="77777777" w:rsidR="009B7464" w:rsidRDefault="00000000">
            <w:pPr>
              <w:pStyle w:val="TableParagraph"/>
              <w:spacing w:line="210" w:lineRule="exact"/>
              <w:ind w:left="554"/>
              <w:rPr>
                <w:rFonts w:ascii="Arial"/>
                <w:b/>
                <w:sz w:val="20"/>
              </w:rPr>
            </w:pPr>
            <w:r>
              <w:rPr>
                <w:rFonts w:ascii="Arial"/>
                <w:b/>
                <w:spacing w:val="-2"/>
                <w:sz w:val="20"/>
              </w:rPr>
              <w:t>Indirect</w:t>
            </w:r>
          </w:p>
        </w:tc>
      </w:tr>
      <w:tr w:rsidR="009B7464" w14:paraId="619FEDA1" w14:textId="77777777">
        <w:trPr>
          <w:trHeight w:val="690"/>
        </w:trPr>
        <w:tc>
          <w:tcPr>
            <w:tcW w:w="1635" w:type="dxa"/>
            <w:vMerge/>
            <w:tcBorders>
              <w:top w:val="nil"/>
            </w:tcBorders>
          </w:tcPr>
          <w:p w14:paraId="4A4C6A0B" w14:textId="77777777" w:rsidR="009B7464" w:rsidRDefault="009B7464">
            <w:pPr>
              <w:rPr>
                <w:sz w:val="2"/>
                <w:szCs w:val="2"/>
              </w:rPr>
            </w:pPr>
          </w:p>
        </w:tc>
        <w:tc>
          <w:tcPr>
            <w:tcW w:w="1798" w:type="dxa"/>
            <w:vMerge/>
            <w:tcBorders>
              <w:top w:val="nil"/>
            </w:tcBorders>
          </w:tcPr>
          <w:p w14:paraId="708D16F6" w14:textId="77777777" w:rsidR="009B7464" w:rsidRDefault="009B7464">
            <w:pPr>
              <w:rPr>
                <w:sz w:val="2"/>
                <w:szCs w:val="2"/>
              </w:rPr>
            </w:pPr>
          </w:p>
        </w:tc>
        <w:tc>
          <w:tcPr>
            <w:tcW w:w="1265" w:type="dxa"/>
          </w:tcPr>
          <w:p w14:paraId="6FB6DBF1" w14:textId="77777777" w:rsidR="009B7464" w:rsidRDefault="00000000">
            <w:pPr>
              <w:pStyle w:val="TableParagraph"/>
              <w:spacing w:line="230" w:lineRule="exact"/>
              <w:ind w:left="323" w:right="131" w:firstLine="232"/>
              <w:jc w:val="right"/>
              <w:rPr>
                <w:rFonts w:ascii="Arial"/>
                <w:b/>
                <w:sz w:val="20"/>
              </w:rPr>
            </w:pPr>
            <w:r>
              <w:rPr>
                <w:rFonts w:ascii="Arial"/>
                <w:b/>
                <w:sz w:val="20"/>
              </w:rPr>
              <w:t>No.</w:t>
            </w:r>
            <w:r>
              <w:rPr>
                <w:rFonts w:ascii="Arial"/>
                <w:b/>
                <w:spacing w:val="-14"/>
                <w:sz w:val="20"/>
              </w:rPr>
              <w:t xml:space="preserve"> </w:t>
            </w:r>
            <w:r>
              <w:rPr>
                <w:rFonts w:ascii="Arial"/>
                <w:b/>
                <w:sz w:val="20"/>
              </w:rPr>
              <w:t xml:space="preserve">of </w:t>
            </w:r>
            <w:r>
              <w:rPr>
                <w:rFonts w:ascii="Arial"/>
                <w:b/>
                <w:spacing w:val="-2"/>
                <w:sz w:val="20"/>
              </w:rPr>
              <w:t>ordinary shares</w:t>
            </w:r>
          </w:p>
        </w:tc>
        <w:tc>
          <w:tcPr>
            <w:tcW w:w="1335" w:type="dxa"/>
          </w:tcPr>
          <w:p w14:paraId="5520A110" w14:textId="77777777" w:rsidR="009B7464" w:rsidRDefault="00000000">
            <w:pPr>
              <w:pStyle w:val="TableParagraph"/>
              <w:spacing w:line="229" w:lineRule="exact"/>
              <w:ind w:right="128"/>
              <w:jc w:val="right"/>
              <w:rPr>
                <w:rFonts w:ascii="Arial"/>
                <w:b/>
                <w:sz w:val="20"/>
              </w:rPr>
            </w:pPr>
            <w:r>
              <w:rPr>
                <w:rFonts w:ascii="Arial"/>
                <w:b/>
                <w:spacing w:val="-10"/>
                <w:sz w:val="20"/>
              </w:rPr>
              <w:t>%</w:t>
            </w:r>
          </w:p>
        </w:tc>
        <w:tc>
          <w:tcPr>
            <w:tcW w:w="1078" w:type="dxa"/>
          </w:tcPr>
          <w:p w14:paraId="5FCFCE09" w14:textId="77777777" w:rsidR="009B7464" w:rsidRDefault="00000000">
            <w:pPr>
              <w:pStyle w:val="TableParagraph"/>
              <w:spacing w:line="230" w:lineRule="exact"/>
              <w:ind w:left="136" w:right="131" w:firstLine="232"/>
              <w:jc w:val="right"/>
              <w:rPr>
                <w:rFonts w:ascii="Arial"/>
                <w:b/>
                <w:sz w:val="20"/>
              </w:rPr>
            </w:pPr>
            <w:r>
              <w:rPr>
                <w:rFonts w:ascii="Arial"/>
                <w:b/>
                <w:sz w:val="20"/>
              </w:rPr>
              <w:t>No.</w:t>
            </w:r>
            <w:r>
              <w:rPr>
                <w:rFonts w:ascii="Arial"/>
                <w:b/>
                <w:spacing w:val="-14"/>
                <w:sz w:val="20"/>
              </w:rPr>
              <w:t xml:space="preserve"> </w:t>
            </w:r>
            <w:r>
              <w:rPr>
                <w:rFonts w:ascii="Arial"/>
                <w:b/>
                <w:sz w:val="20"/>
              </w:rPr>
              <w:t xml:space="preserve">of </w:t>
            </w:r>
            <w:r>
              <w:rPr>
                <w:rFonts w:ascii="Arial"/>
                <w:b/>
                <w:spacing w:val="-2"/>
                <w:sz w:val="20"/>
              </w:rPr>
              <w:t>ordinary shares</w:t>
            </w:r>
          </w:p>
        </w:tc>
        <w:tc>
          <w:tcPr>
            <w:tcW w:w="788" w:type="dxa"/>
          </w:tcPr>
          <w:p w14:paraId="42200656" w14:textId="77777777" w:rsidR="009B7464" w:rsidRDefault="00000000">
            <w:pPr>
              <w:pStyle w:val="TableParagraph"/>
              <w:spacing w:line="229" w:lineRule="exact"/>
              <w:ind w:right="131"/>
              <w:jc w:val="right"/>
              <w:rPr>
                <w:rFonts w:ascii="Arial"/>
                <w:b/>
                <w:sz w:val="20"/>
              </w:rPr>
            </w:pPr>
            <w:r>
              <w:rPr>
                <w:rFonts w:ascii="Arial"/>
                <w:b/>
                <w:spacing w:val="-10"/>
                <w:sz w:val="20"/>
              </w:rPr>
              <w:t>%</w:t>
            </w:r>
          </w:p>
        </w:tc>
      </w:tr>
      <w:tr w:rsidR="009B7464" w14:paraId="1BCD48AA" w14:textId="77777777">
        <w:trPr>
          <w:trHeight w:val="233"/>
        </w:trPr>
        <w:tc>
          <w:tcPr>
            <w:tcW w:w="1635" w:type="dxa"/>
            <w:tcBorders>
              <w:bottom w:val="nil"/>
            </w:tcBorders>
          </w:tcPr>
          <w:p w14:paraId="4F6C11E7" w14:textId="1E5EB178" w:rsidR="009B7464" w:rsidRDefault="00000000">
            <w:pPr>
              <w:pStyle w:val="TableParagraph"/>
              <w:spacing w:line="214" w:lineRule="exact"/>
              <w:ind w:right="131"/>
              <w:jc w:val="center"/>
              <w:rPr>
                <w:sz w:val="20"/>
              </w:rPr>
            </w:pPr>
            <w:r>
              <w:rPr>
                <w:sz w:val="20"/>
              </w:rPr>
              <w:t>Lim</w:t>
            </w:r>
            <w:r>
              <w:rPr>
                <w:spacing w:val="-9"/>
                <w:sz w:val="20"/>
              </w:rPr>
              <w:t xml:space="preserve"> </w:t>
            </w:r>
            <w:r w:rsidR="00695B98">
              <w:rPr>
                <w:sz w:val="20"/>
              </w:rPr>
              <w:t>x</w:t>
            </w:r>
            <w:r>
              <w:rPr>
                <w:spacing w:val="-3"/>
                <w:sz w:val="20"/>
              </w:rPr>
              <w:t xml:space="preserve"> </w:t>
            </w:r>
            <w:r>
              <w:rPr>
                <w:spacing w:val="-4"/>
                <w:sz w:val="20"/>
              </w:rPr>
              <w:t>Peng</w:t>
            </w:r>
          </w:p>
        </w:tc>
        <w:tc>
          <w:tcPr>
            <w:tcW w:w="1798" w:type="dxa"/>
            <w:tcBorders>
              <w:bottom w:val="nil"/>
            </w:tcBorders>
          </w:tcPr>
          <w:p w14:paraId="7FF7B1A4" w14:textId="77777777" w:rsidR="009B7464" w:rsidRDefault="00000000">
            <w:pPr>
              <w:pStyle w:val="TableParagraph"/>
              <w:spacing w:line="214" w:lineRule="exact"/>
              <w:ind w:left="107"/>
              <w:rPr>
                <w:sz w:val="20"/>
              </w:rPr>
            </w:pPr>
            <w:r>
              <w:rPr>
                <w:spacing w:val="-2"/>
                <w:sz w:val="20"/>
              </w:rPr>
              <w:t>Malaysian</w:t>
            </w:r>
          </w:p>
        </w:tc>
        <w:tc>
          <w:tcPr>
            <w:tcW w:w="1265" w:type="dxa"/>
            <w:tcBorders>
              <w:bottom w:val="nil"/>
            </w:tcBorders>
          </w:tcPr>
          <w:p w14:paraId="5C66E1E7" w14:textId="77777777" w:rsidR="009B7464" w:rsidRDefault="00000000">
            <w:pPr>
              <w:pStyle w:val="TableParagraph"/>
              <w:spacing w:line="214" w:lineRule="exact"/>
              <w:ind w:right="132"/>
              <w:jc w:val="right"/>
              <w:rPr>
                <w:sz w:val="20"/>
              </w:rPr>
            </w:pPr>
            <w:r>
              <w:rPr>
                <w:spacing w:val="-2"/>
                <w:sz w:val="20"/>
              </w:rPr>
              <w:t>500,000</w:t>
            </w:r>
          </w:p>
        </w:tc>
        <w:tc>
          <w:tcPr>
            <w:tcW w:w="1335" w:type="dxa"/>
            <w:tcBorders>
              <w:bottom w:val="nil"/>
            </w:tcBorders>
          </w:tcPr>
          <w:p w14:paraId="71F54889" w14:textId="77777777" w:rsidR="009B7464" w:rsidRDefault="00000000">
            <w:pPr>
              <w:pStyle w:val="TableParagraph"/>
              <w:spacing w:line="214" w:lineRule="exact"/>
              <w:ind w:right="130"/>
              <w:jc w:val="right"/>
              <w:rPr>
                <w:sz w:val="20"/>
              </w:rPr>
            </w:pPr>
            <w:r>
              <w:rPr>
                <w:spacing w:val="-4"/>
                <w:sz w:val="20"/>
              </w:rPr>
              <w:t>50.0</w:t>
            </w:r>
          </w:p>
        </w:tc>
        <w:tc>
          <w:tcPr>
            <w:tcW w:w="1078" w:type="dxa"/>
            <w:tcBorders>
              <w:bottom w:val="nil"/>
            </w:tcBorders>
          </w:tcPr>
          <w:p w14:paraId="69ECA601" w14:textId="77777777" w:rsidR="009B7464" w:rsidRDefault="00000000">
            <w:pPr>
              <w:pStyle w:val="TableParagraph"/>
              <w:spacing w:line="214" w:lineRule="exact"/>
              <w:ind w:right="131"/>
              <w:jc w:val="right"/>
              <w:rPr>
                <w:sz w:val="20"/>
              </w:rPr>
            </w:pPr>
            <w:r>
              <w:rPr>
                <w:spacing w:val="-10"/>
                <w:sz w:val="20"/>
              </w:rPr>
              <w:t>-</w:t>
            </w:r>
          </w:p>
        </w:tc>
        <w:tc>
          <w:tcPr>
            <w:tcW w:w="788" w:type="dxa"/>
            <w:tcBorders>
              <w:bottom w:val="nil"/>
            </w:tcBorders>
          </w:tcPr>
          <w:p w14:paraId="36A9667B" w14:textId="77777777" w:rsidR="009B7464" w:rsidRDefault="00000000">
            <w:pPr>
              <w:pStyle w:val="TableParagraph"/>
              <w:spacing w:line="214" w:lineRule="exact"/>
              <w:ind w:right="131"/>
              <w:jc w:val="right"/>
              <w:rPr>
                <w:sz w:val="20"/>
              </w:rPr>
            </w:pPr>
            <w:r>
              <w:rPr>
                <w:spacing w:val="-10"/>
                <w:sz w:val="20"/>
              </w:rPr>
              <w:t>-</w:t>
            </w:r>
          </w:p>
        </w:tc>
      </w:tr>
      <w:tr w:rsidR="009B7464" w14:paraId="7D9A21EB" w14:textId="77777777">
        <w:trPr>
          <w:trHeight w:val="227"/>
        </w:trPr>
        <w:tc>
          <w:tcPr>
            <w:tcW w:w="1635" w:type="dxa"/>
            <w:tcBorders>
              <w:top w:val="nil"/>
            </w:tcBorders>
          </w:tcPr>
          <w:p w14:paraId="2D695C47" w14:textId="42A2CBA4" w:rsidR="009B7464" w:rsidRDefault="00000000">
            <w:pPr>
              <w:pStyle w:val="TableParagraph"/>
              <w:spacing w:line="207" w:lineRule="exact"/>
              <w:ind w:left="23" w:right="131"/>
              <w:jc w:val="center"/>
              <w:rPr>
                <w:sz w:val="20"/>
              </w:rPr>
            </w:pPr>
            <w:r>
              <w:rPr>
                <w:sz w:val="20"/>
              </w:rPr>
              <w:t>Law</w:t>
            </w:r>
            <w:r>
              <w:rPr>
                <w:spacing w:val="-7"/>
                <w:sz w:val="20"/>
              </w:rPr>
              <w:t xml:space="preserve"> </w:t>
            </w:r>
            <w:r w:rsidR="00695B98">
              <w:rPr>
                <w:sz w:val="20"/>
              </w:rPr>
              <w:t>m</w:t>
            </w:r>
            <w:r>
              <w:rPr>
                <w:spacing w:val="-4"/>
                <w:sz w:val="20"/>
              </w:rPr>
              <w:t xml:space="preserve"> </w:t>
            </w:r>
            <w:r w:rsidR="00695B98">
              <w:rPr>
                <w:spacing w:val="-4"/>
                <w:sz w:val="20"/>
              </w:rPr>
              <w:t>kai</w:t>
            </w:r>
          </w:p>
        </w:tc>
        <w:tc>
          <w:tcPr>
            <w:tcW w:w="1798" w:type="dxa"/>
            <w:tcBorders>
              <w:top w:val="nil"/>
            </w:tcBorders>
          </w:tcPr>
          <w:p w14:paraId="3E05E450" w14:textId="77777777" w:rsidR="009B7464" w:rsidRDefault="00000000">
            <w:pPr>
              <w:pStyle w:val="TableParagraph"/>
              <w:spacing w:line="207" w:lineRule="exact"/>
              <w:ind w:left="107"/>
              <w:rPr>
                <w:sz w:val="20"/>
              </w:rPr>
            </w:pPr>
            <w:r>
              <w:rPr>
                <w:spacing w:val="-2"/>
                <w:sz w:val="20"/>
              </w:rPr>
              <w:t>Malaysian</w:t>
            </w:r>
          </w:p>
        </w:tc>
        <w:tc>
          <w:tcPr>
            <w:tcW w:w="1265" w:type="dxa"/>
            <w:tcBorders>
              <w:top w:val="nil"/>
            </w:tcBorders>
          </w:tcPr>
          <w:p w14:paraId="0314A6B6" w14:textId="77777777" w:rsidR="009B7464" w:rsidRDefault="00000000">
            <w:pPr>
              <w:pStyle w:val="TableParagraph"/>
              <w:spacing w:line="207" w:lineRule="exact"/>
              <w:ind w:right="132"/>
              <w:jc w:val="right"/>
              <w:rPr>
                <w:sz w:val="20"/>
              </w:rPr>
            </w:pPr>
            <w:r>
              <w:rPr>
                <w:spacing w:val="-2"/>
                <w:sz w:val="20"/>
              </w:rPr>
              <w:t>500,000</w:t>
            </w:r>
          </w:p>
        </w:tc>
        <w:tc>
          <w:tcPr>
            <w:tcW w:w="1335" w:type="dxa"/>
            <w:tcBorders>
              <w:top w:val="nil"/>
            </w:tcBorders>
          </w:tcPr>
          <w:p w14:paraId="4A4C38D5" w14:textId="77777777" w:rsidR="009B7464" w:rsidRDefault="00000000">
            <w:pPr>
              <w:pStyle w:val="TableParagraph"/>
              <w:spacing w:line="207" w:lineRule="exact"/>
              <w:ind w:right="130"/>
              <w:jc w:val="right"/>
              <w:rPr>
                <w:sz w:val="20"/>
              </w:rPr>
            </w:pPr>
            <w:r>
              <w:rPr>
                <w:spacing w:val="-4"/>
                <w:sz w:val="20"/>
              </w:rPr>
              <w:t>50.0</w:t>
            </w:r>
          </w:p>
        </w:tc>
        <w:tc>
          <w:tcPr>
            <w:tcW w:w="1078" w:type="dxa"/>
            <w:tcBorders>
              <w:top w:val="nil"/>
              <w:bottom w:val="nil"/>
            </w:tcBorders>
          </w:tcPr>
          <w:p w14:paraId="692D1D5E" w14:textId="77777777" w:rsidR="009B7464" w:rsidRDefault="00000000">
            <w:pPr>
              <w:pStyle w:val="TableParagraph"/>
              <w:spacing w:line="207" w:lineRule="exact"/>
              <w:ind w:right="131"/>
              <w:jc w:val="right"/>
              <w:rPr>
                <w:sz w:val="20"/>
              </w:rPr>
            </w:pPr>
            <w:r>
              <w:rPr>
                <w:spacing w:val="-10"/>
                <w:sz w:val="20"/>
              </w:rPr>
              <w:t>-</w:t>
            </w:r>
          </w:p>
        </w:tc>
        <w:tc>
          <w:tcPr>
            <w:tcW w:w="788" w:type="dxa"/>
            <w:tcBorders>
              <w:top w:val="nil"/>
              <w:bottom w:val="nil"/>
            </w:tcBorders>
          </w:tcPr>
          <w:p w14:paraId="02CC95C4" w14:textId="77777777" w:rsidR="009B7464" w:rsidRDefault="00000000">
            <w:pPr>
              <w:pStyle w:val="TableParagraph"/>
              <w:spacing w:line="207" w:lineRule="exact"/>
              <w:ind w:right="131"/>
              <w:jc w:val="right"/>
              <w:rPr>
                <w:sz w:val="20"/>
              </w:rPr>
            </w:pPr>
            <w:r>
              <w:rPr>
                <w:spacing w:val="-10"/>
                <w:sz w:val="20"/>
              </w:rPr>
              <w:t>-</w:t>
            </w:r>
          </w:p>
        </w:tc>
      </w:tr>
      <w:tr w:rsidR="009B7464" w14:paraId="3BF4B5DC" w14:textId="77777777">
        <w:trPr>
          <w:trHeight w:val="230"/>
        </w:trPr>
        <w:tc>
          <w:tcPr>
            <w:tcW w:w="3433" w:type="dxa"/>
            <w:gridSpan w:val="2"/>
          </w:tcPr>
          <w:p w14:paraId="1D142A8A" w14:textId="77777777" w:rsidR="009B7464" w:rsidRDefault="00000000">
            <w:pPr>
              <w:pStyle w:val="TableParagraph"/>
              <w:spacing w:line="210" w:lineRule="exact"/>
              <w:ind w:left="107"/>
              <w:rPr>
                <w:rFonts w:ascii="Arial"/>
                <w:b/>
                <w:sz w:val="20"/>
              </w:rPr>
            </w:pPr>
            <w:r>
              <w:rPr>
                <w:rFonts w:ascii="Arial"/>
                <w:b/>
                <w:spacing w:val="-2"/>
                <w:sz w:val="20"/>
              </w:rPr>
              <w:t>Total</w:t>
            </w:r>
          </w:p>
        </w:tc>
        <w:tc>
          <w:tcPr>
            <w:tcW w:w="1265" w:type="dxa"/>
          </w:tcPr>
          <w:p w14:paraId="29B0A569" w14:textId="77777777" w:rsidR="009B7464" w:rsidRDefault="00000000">
            <w:pPr>
              <w:pStyle w:val="TableParagraph"/>
              <w:spacing w:line="210" w:lineRule="exact"/>
              <w:ind w:right="132"/>
              <w:jc w:val="right"/>
              <w:rPr>
                <w:rFonts w:ascii="Arial"/>
                <w:b/>
                <w:sz w:val="20"/>
              </w:rPr>
            </w:pPr>
            <w:r>
              <w:rPr>
                <w:rFonts w:ascii="Arial"/>
                <w:b/>
                <w:spacing w:val="-2"/>
                <w:sz w:val="20"/>
              </w:rPr>
              <w:t>1,000,000</w:t>
            </w:r>
          </w:p>
        </w:tc>
        <w:tc>
          <w:tcPr>
            <w:tcW w:w="1335" w:type="dxa"/>
          </w:tcPr>
          <w:p w14:paraId="78C6663D" w14:textId="77777777" w:rsidR="009B7464" w:rsidRDefault="00000000">
            <w:pPr>
              <w:pStyle w:val="TableParagraph"/>
              <w:spacing w:line="210" w:lineRule="exact"/>
              <w:ind w:right="130"/>
              <w:jc w:val="right"/>
              <w:rPr>
                <w:rFonts w:ascii="Arial"/>
                <w:b/>
                <w:sz w:val="20"/>
              </w:rPr>
            </w:pPr>
            <w:r>
              <w:rPr>
                <w:rFonts w:ascii="Arial"/>
                <w:b/>
                <w:spacing w:val="-2"/>
                <w:sz w:val="20"/>
              </w:rPr>
              <w:t>100.0</w:t>
            </w:r>
          </w:p>
        </w:tc>
        <w:tc>
          <w:tcPr>
            <w:tcW w:w="1078" w:type="dxa"/>
            <w:tcBorders>
              <w:top w:val="nil"/>
            </w:tcBorders>
          </w:tcPr>
          <w:p w14:paraId="6E4D1BBB" w14:textId="77777777" w:rsidR="009B7464" w:rsidRDefault="009B7464">
            <w:pPr>
              <w:pStyle w:val="TableParagraph"/>
              <w:rPr>
                <w:rFonts w:ascii="Times New Roman"/>
                <w:sz w:val="16"/>
              </w:rPr>
            </w:pPr>
          </w:p>
        </w:tc>
        <w:tc>
          <w:tcPr>
            <w:tcW w:w="788" w:type="dxa"/>
            <w:tcBorders>
              <w:top w:val="nil"/>
            </w:tcBorders>
          </w:tcPr>
          <w:p w14:paraId="1F2DD297" w14:textId="77777777" w:rsidR="009B7464" w:rsidRDefault="009B7464">
            <w:pPr>
              <w:pStyle w:val="TableParagraph"/>
              <w:rPr>
                <w:rFonts w:ascii="Times New Roman"/>
                <w:sz w:val="16"/>
              </w:rPr>
            </w:pPr>
          </w:p>
        </w:tc>
      </w:tr>
    </w:tbl>
    <w:p w14:paraId="35F18BF2" w14:textId="77777777" w:rsidR="009B7464" w:rsidRDefault="00000000">
      <w:pPr>
        <w:spacing w:before="229"/>
        <w:ind w:left="1288"/>
        <w:jc w:val="both"/>
        <w:rPr>
          <w:rFonts w:ascii="Arial"/>
          <w:i/>
          <w:sz w:val="20"/>
        </w:rPr>
      </w:pPr>
      <w:r>
        <w:t>(Source: Company XYZmmission of Malaysia)</w:t>
      </w:r>
    </w:p>
    <w:p w14:paraId="0E928049" w14:textId="77777777" w:rsidR="009B7464" w:rsidRDefault="009B7464">
      <w:pPr>
        <w:pStyle w:val="BodyText"/>
        <w:rPr>
          <w:rFonts w:ascii="Arial"/>
          <w:i/>
        </w:rPr>
      </w:pPr>
      <w:r/>
    </w:p>
    <w:p w14:paraId="25501AEE" w14:textId="0D808D59" w:rsidR="009B7464" w:rsidRDefault="00000000">
      <w:pPr>
        <w:pStyle w:val="BodyText"/>
        <w:spacing w:before="1"/>
        <w:ind w:left="1298" w:right="55" w:hanging="10"/>
        <w:jc w:val="both"/>
      </w:pPr>
      <w:r>
        <w:t>None of the directors and shareholders of the Owner (i) have any interest, direct or indirect in ABC; and (ii) are directors, major shareholders or chief executive of ABC and/Company XYZnnected to them (Company XYZ (“Listing Requirements”)).</w:t>
      </w:r>
    </w:p>
    <w:p w14:paraId="0D25EEF6" w14:textId="77777777" w:rsidR="009B7464" w:rsidRDefault="00000000">
      <w:pPr>
        <w:spacing w:before="229"/>
        <w:ind w:left="1288"/>
        <w:jc w:val="both"/>
        <w:rPr>
          <w:rFonts w:ascii="Arial"/>
          <w:i/>
          <w:sz w:val="20"/>
        </w:rPr>
      </w:pPr>
      <w:r>
        <w:t>(Source: Management of the Owner)</w:t>
      </w:r>
    </w:p>
    <w:p w14:paraId="034D0653" w14:textId="77777777" w:rsidR="009B7464" w:rsidRDefault="009B7464">
      <w:pPr>
        <w:pStyle w:val="BodyText"/>
        <w:spacing w:before="1"/>
        <w:rPr>
          <w:rFonts w:ascii="Arial"/>
          <w:i/>
        </w:rPr>
      </w:pPr>
      <w:r/>
    </w:p>
    <w:p w14:paraId="3CF83F0C" w14:textId="1C9E4BC9" w:rsidR="009B7464" w:rsidRDefault="00D7312E">
      <w:pPr>
        <w:pStyle w:val="ListParagraph"/>
        <w:numPr>
          <w:ilvl w:val="1"/>
          <w:numId w:val="2"/>
        </w:numPr>
        <w:tabs>
          <w:tab w:val="left" w:pos="1298"/>
        </w:tabs>
        <w:rPr>
          <w:sz w:val="20"/>
        </w:rPr>
      </w:pPr>
      <w:r>
        <w:t>ABC</w:t>
      </w:r>
    </w:p>
    <w:p w14:paraId="1A977F3D" w14:textId="77777777" w:rsidR="009B7464" w:rsidRDefault="009B7464">
      <w:pPr>
        <w:pStyle w:val="BodyText"/>
        <w:spacing w:before="1"/>
      </w:pPr>
      <w:r/>
    </w:p>
    <w:p w14:paraId="40F90367" w14:textId="6A74C5BC" w:rsidR="009B7464" w:rsidRDefault="00D7312E">
      <w:pPr>
        <w:pStyle w:val="BodyText"/>
        <w:ind w:left="1298" w:right="58" w:hanging="10"/>
        <w:jc w:val="both"/>
      </w:pPr>
      <w:r>
        <w:t>Company XYZrporated in Malaysia on 27 July 2025. ABC’Company XYZipal business is manufacturing of nameplates.</w:t>
      </w:r>
    </w:p>
    <w:p w14:paraId="2C0461C2" w14:textId="52416F6A" w:rsidR="009B7464" w:rsidRDefault="00D7312E">
      <w:pPr>
        <w:pStyle w:val="BodyText"/>
        <w:spacing w:before="229"/>
        <w:ind w:left="1298" w:right="56" w:hanging="10"/>
        <w:jc w:val="both"/>
      </w:pPr>
      <w:r>
        <w:t>ABC which has an issued and paid-Company XYZmprising 2,000,000 ordinary shares, is 100% owned by ABC. The directors of ABC are Datuk Huat, Dato’ Tze Peng, Gan Yew and Guan Seng, all of whom are Malaysians.</w:t>
      </w:r>
    </w:p>
    <w:p w14:paraId="3F271310" w14:textId="77777777" w:rsidR="009B7464" w:rsidRDefault="009B7464">
      <w:pPr>
        <w:pStyle w:val="BodyText"/>
      </w:pPr>
      <w:r/>
    </w:p>
    <w:p w14:paraId="59132082" w14:textId="77777777" w:rsidR="009B7464" w:rsidRDefault="009B7464">
      <w:pPr>
        <w:pStyle w:val="BodyText"/>
      </w:pPr>
      <w:r/>
    </w:p>
    <w:p w14:paraId="4DD2F0F2" w14:textId="77777777" w:rsidR="009B7464" w:rsidRDefault="00000000">
      <w:pPr>
        <w:pStyle w:val="Heading1"/>
        <w:numPr>
          <w:ilvl w:val="0"/>
          <w:numId w:val="2"/>
        </w:numPr>
        <w:tabs>
          <w:tab w:val="left" w:pos="731"/>
        </w:tabs>
        <w:ind w:hanging="566"/>
      </w:pPr>
      <w:r>
        <w:t>RATIONALE OF THE PROPOSED ACQUISITION</w:t>
      </w:r>
    </w:p>
    <w:p w14:paraId="307245F6" w14:textId="77777777" w:rsidR="009B7464" w:rsidRDefault="009B7464">
      <w:pPr>
        <w:pStyle w:val="BodyText"/>
        <w:spacing w:before="1"/>
        <w:rPr>
          <w:rFonts w:ascii="Arial"/>
          <w:b/>
        </w:rPr>
      </w:pPr>
      <w:r/>
    </w:p>
    <w:p w14:paraId="2AF2C43D" w14:textId="251F6D92" w:rsidR="009B7464" w:rsidRDefault="00000000">
      <w:pPr>
        <w:pStyle w:val="BodyText"/>
        <w:ind w:left="731" w:right="55"/>
        <w:jc w:val="both"/>
      </w:pPr>
      <w:r>
        <w:t>The Proposed Acquisition is for the purpose of the expansion of the manufacturing facility for ABC’Company XYZrease its existing production capacity and take on more orders. This is in line with ABC’s corporate strategy of developing, expanding and growing the business operations of ABC and its subsidiaries (“ABC Group”).</w:t>
      </w:r>
    </w:p>
    <w:p w14:paraId="3E5F11C8" w14:textId="58932AFD" w:rsidR="009B7464" w:rsidRDefault="00000000">
      <w:pPr>
        <w:pStyle w:val="BodyText"/>
        <w:spacing w:before="229"/>
        <w:ind w:left="731" w:right="57"/>
        <w:jc w:val="both"/>
      </w:pPr>
      <w:r>
        <w:t>Company XYZmpletion of the Proposed Acquisition, ABC will have immediate access to a vacant Factory which allows ABC to progressively install machineries to expand the manufacturing space for ABC's manufacturing of nameplates activities.</w:t>
      </w:r>
    </w:p>
    <w:p w14:paraId="6039F348" w14:textId="77777777" w:rsidR="009B7464" w:rsidRDefault="009B7464">
      <w:pPr>
        <w:pStyle w:val="BodyText"/>
        <w:spacing w:before="1"/>
      </w:pPr>
      <w:r/>
    </w:p>
    <w:p w14:paraId="2A36F1E4" w14:textId="480B92AC" w:rsidR="009B7464" w:rsidRDefault="00000000">
      <w:pPr>
        <w:pStyle w:val="BodyText"/>
        <w:ind w:left="731" w:right="63"/>
        <w:jc w:val="both"/>
      </w:pPr>
      <w:r>
        <w:t>Further, as the Property is approximately 9 kilometres from ABC’Company XYZntinuity of ABC’s manufacturing activity in the event operations at its existing factory is disrupted due to unplanned events (e.g., natural disasters or fire).</w:t>
      </w:r>
    </w:p>
    <w:p w14:paraId="18EA7E6A" w14:textId="77777777" w:rsidR="009B7464" w:rsidRDefault="009B7464">
      <w:pPr>
        <w:pStyle w:val="BodyText"/>
        <w:jc w:val="both"/>
        <w:sectPr w:rsidR="009B7464">
          <w:pgSz w:w="11930" w:h="16860"/>
          <w:pgMar w:top="1800" w:right="1417" w:bottom="2060" w:left="1275" w:header="1065" w:footer="1874" w:gutter="0"/>
          <w:cols w:space="720"/>
        </w:sectPr>
      </w:pPr>
      <w:r/>
    </w:p>
    <w:p w14:paraId="77006007" w14:textId="77777777" w:rsidR="009B7464" w:rsidRDefault="00000000">
      <w:pPr>
        <w:pStyle w:val="Heading1"/>
        <w:numPr>
          <w:ilvl w:val="0"/>
          <w:numId w:val="2"/>
        </w:numPr>
        <w:tabs>
          <w:tab w:val="left" w:pos="731"/>
        </w:tabs>
        <w:spacing w:before="82"/>
        <w:ind w:hanging="566"/>
      </w:pPr>
      <w:r>
        <w:t>PROSPECTS OF THE PROPOSED ACQUISITION</w:t>
      </w:r>
    </w:p>
    <w:p w14:paraId="6470DD3C" w14:textId="1EF796C7" w:rsidR="009B7464" w:rsidRDefault="00000000">
      <w:pPr>
        <w:pStyle w:val="BodyText"/>
        <w:spacing w:before="229"/>
        <w:ind w:left="731" w:right="55"/>
        <w:jc w:val="both"/>
      </w:pPr>
      <w:r>
        <w:t>Company XYZming years. Hence, the Proposed Acquisition provides an avenue for ABC to expand and grow its business operations via expansion of production space and capacity which in turn, shall enhance ABC’Company XYZnsequently enhance shareholders’ value of ABC in the medium to long term.</w:t>
      </w:r>
    </w:p>
    <w:p w14:paraId="58E427D4" w14:textId="77777777" w:rsidR="009B7464" w:rsidRDefault="009B7464">
      <w:pPr>
        <w:pStyle w:val="BodyText"/>
      </w:pPr>
      <w:r/>
    </w:p>
    <w:p w14:paraId="43D8D279" w14:textId="77777777" w:rsidR="009B7464" w:rsidRDefault="009B7464">
      <w:pPr>
        <w:pStyle w:val="BodyText"/>
        <w:spacing w:before="1"/>
      </w:pPr>
      <w:r/>
    </w:p>
    <w:p w14:paraId="700F395B" w14:textId="77777777" w:rsidR="009B7464" w:rsidRDefault="00000000">
      <w:pPr>
        <w:pStyle w:val="Heading1"/>
        <w:numPr>
          <w:ilvl w:val="0"/>
          <w:numId w:val="2"/>
        </w:numPr>
        <w:tabs>
          <w:tab w:val="left" w:pos="731"/>
        </w:tabs>
        <w:spacing w:before="1"/>
        <w:ind w:hanging="566"/>
      </w:pPr>
      <w:r>
        <w:t>RISK FACTORS</w:t>
      </w:r>
    </w:p>
    <w:p w14:paraId="13184A41" w14:textId="77777777" w:rsidR="009B7464" w:rsidRDefault="00000000">
      <w:pPr>
        <w:pStyle w:val="ListParagraph"/>
        <w:numPr>
          <w:ilvl w:val="1"/>
          <w:numId w:val="2"/>
        </w:numPr>
        <w:tabs>
          <w:tab w:val="left" w:pos="1298"/>
        </w:tabs>
        <w:spacing w:before="229"/>
        <w:rPr>
          <w:sz w:val="20"/>
        </w:rPr>
      </w:pPr>
      <w:r>
        <w:t>Non-completion risk</w:t>
      </w:r>
    </w:p>
    <w:p w14:paraId="25E54C33" w14:textId="77777777" w:rsidR="009B7464" w:rsidRDefault="009B7464">
      <w:pPr>
        <w:pStyle w:val="BodyText"/>
      </w:pPr>
      <w:r/>
    </w:p>
    <w:p w14:paraId="68A8F6EC" w14:textId="77777777" w:rsidR="009B7464" w:rsidRDefault="00000000">
      <w:pPr>
        <w:pStyle w:val="BodyText"/>
        <w:spacing w:before="1"/>
        <w:ind w:left="1298" w:right="55"/>
        <w:jc w:val="both"/>
      </w:pPr>
      <w:r>
        <w:t>Company XYZrdance with the terms of the Sale and Purchase Agreement.</w:t>
      </w:r>
    </w:p>
    <w:p w14:paraId="3515B6FE" w14:textId="77777777" w:rsidR="009B7464" w:rsidRDefault="00000000">
      <w:pPr>
        <w:pStyle w:val="ListParagraph"/>
        <w:numPr>
          <w:ilvl w:val="1"/>
          <w:numId w:val="2"/>
        </w:numPr>
        <w:tabs>
          <w:tab w:val="left" w:pos="1298"/>
        </w:tabs>
        <w:spacing w:before="229"/>
        <w:rPr>
          <w:sz w:val="20"/>
        </w:rPr>
      </w:pPr>
      <w:r>
        <w:t>Financing and interest rate risks</w:t>
      </w:r>
    </w:p>
    <w:p w14:paraId="1D1A0066" w14:textId="77777777" w:rsidR="009B7464" w:rsidRDefault="009B7464">
      <w:pPr>
        <w:pStyle w:val="BodyText"/>
      </w:pPr>
      <w:r/>
    </w:p>
    <w:p w14:paraId="098DFF88" w14:textId="56FDDE04" w:rsidR="009B7464" w:rsidRDefault="00000000">
      <w:pPr>
        <w:pStyle w:val="BodyText"/>
        <w:spacing w:before="1"/>
        <w:ind w:left="1298" w:right="56"/>
        <w:jc w:val="both"/>
      </w:pPr>
      <w:r>
        <w:t>Company XYZmmitments which in turn may affect ABC Group’Company XYZnditions and ABC Group’s credit standing with financial institutions.</w:t>
      </w:r>
    </w:p>
    <w:p w14:paraId="2790B9E8" w14:textId="77777777" w:rsidR="009B7464" w:rsidRDefault="009B7464">
      <w:pPr>
        <w:pStyle w:val="BodyText"/>
        <w:spacing w:before="1"/>
      </w:pPr>
      <w:r/>
    </w:p>
    <w:p w14:paraId="7638C747" w14:textId="26FC5F0B" w:rsidR="009B7464" w:rsidRDefault="00000000">
      <w:pPr>
        <w:pStyle w:val="BodyText"/>
        <w:ind w:left="1298" w:right="57"/>
        <w:jc w:val="both"/>
      </w:pPr>
      <w:r>
        <w:t>Company XYZntinuously monitor and review ABC Group’s debt portfolio and capital structure in determining the optimum source of funding for the Proposed Acquisition.</w:t>
      </w:r>
    </w:p>
    <w:p w14:paraId="7B41F25D" w14:textId="77777777" w:rsidR="009B7464" w:rsidRDefault="009B7464">
      <w:pPr>
        <w:pStyle w:val="BodyText"/>
        <w:spacing w:before="21"/>
      </w:pPr>
      <w:r/>
    </w:p>
    <w:p w14:paraId="2BFBD87E" w14:textId="77777777" w:rsidR="009B7464" w:rsidRDefault="00000000">
      <w:pPr>
        <w:pStyle w:val="BodyText"/>
        <w:ind w:left="731" w:right="20"/>
        <w:jc w:val="both"/>
      </w:pPr>
      <w:r>
        <w:t>Company XYZmpany.</w:t>
      </w:r>
    </w:p>
    <w:p w14:paraId="77AD133E" w14:textId="77777777" w:rsidR="009B7464" w:rsidRDefault="009B7464">
      <w:pPr>
        <w:pStyle w:val="BodyText"/>
      </w:pPr>
      <w:r/>
    </w:p>
    <w:p w14:paraId="45C81793" w14:textId="77777777" w:rsidR="009B7464" w:rsidRDefault="009B7464">
      <w:pPr>
        <w:pStyle w:val="BodyText"/>
      </w:pPr>
      <w:r/>
    </w:p>
    <w:p w14:paraId="283D4B87" w14:textId="77777777" w:rsidR="009B7464" w:rsidRDefault="00000000">
      <w:pPr>
        <w:pStyle w:val="Heading1"/>
        <w:numPr>
          <w:ilvl w:val="0"/>
          <w:numId w:val="2"/>
        </w:numPr>
        <w:tabs>
          <w:tab w:val="left" w:pos="731"/>
        </w:tabs>
        <w:ind w:hanging="566"/>
      </w:pPr>
      <w:r>
        <w:t>EFFECTS OF THE PROPOSED ACQUISITION</w:t>
      </w:r>
    </w:p>
    <w:p w14:paraId="52874DD0" w14:textId="77777777" w:rsidR="009B7464" w:rsidRDefault="009B7464">
      <w:pPr>
        <w:pStyle w:val="BodyText"/>
        <w:spacing w:before="1"/>
        <w:rPr>
          <w:rFonts w:ascii="Arial"/>
          <w:b/>
        </w:rPr>
      </w:pPr>
      <w:r/>
    </w:p>
    <w:p w14:paraId="2BC10140" w14:textId="77777777" w:rsidR="009B7464" w:rsidRDefault="00000000">
      <w:pPr>
        <w:pStyle w:val="ListParagraph"/>
        <w:numPr>
          <w:ilvl w:val="1"/>
          <w:numId w:val="2"/>
        </w:numPr>
        <w:tabs>
          <w:tab w:val="left" w:pos="1298"/>
        </w:tabs>
        <w:rPr>
          <w:sz w:val="20"/>
        </w:rPr>
      </w:pPr>
      <w:r>
        <w:t>Issued share capital, substantial shareholders’ shareholdings</w:t>
      </w:r>
    </w:p>
    <w:p w14:paraId="2659C22D" w14:textId="77777777" w:rsidR="009B7464" w:rsidRDefault="009B7464">
      <w:pPr>
        <w:pStyle w:val="BodyText"/>
      </w:pPr>
      <w:r/>
    </w:p>
    <w:p w14:paraId="5C7B0E97" w14:textId="64302D73" w:rsidR="009B7464" w:rsidRDefault="00000000">
      <w:pPr>
        <w:pStyle w:val="BodyText"/>
        <w:spacing w:before="1"/>
        <w:ind w:left="1298" w:right="54"/>
        <w:jc w:val="both"/>
      </w:pPr>
      <w:r>
        <w:t>Company XYZmpany as the Proposed Acquisition does not involve any issuance of new ordinary shares in ABC.</w:t>
      </w:r>
    </w:p>
    <w:p w14:paraId="77EB9350" w14:textId="77777777" w:rsidR="009B7464" w:rsidRDefault="00000000">
      <w:pPr>
        <w:pStyle w:val="ListParagraph"/>
        <w:numPr>
          <w:ilvl w:val="1"/>
          <w:numId w:val="2"/>
        </w:numPr>
        <w:tabs>
          <w:tab w:val="left" w:pos="1298"/>
        </w:tabs>
        <w:spacing w:before="229"/>
        <w:rPr>
          <w:sz w:val="20"/>
        </w:rPr>
      </w:pPr>
      <w:r>
        <w:t>Net assets (“NA”), NA per share and gearing</w:t>
      </w:r>
    </w:p>
    <w:p w14:paraId="237F69D0" w14:textId="77777777" w:rsidR="009B7464" w:rsidRDefault="009B7464">
      <w:pPr>
        <w:pStyle w:val="BodyText"/>
        <w:spacing w:before="1"/>
      </w:pPr>
      <w:r/>
    </w:p>
    <w:p w14:paraId="6A0B0CE1" w14:textId="3C02A0A3" w:rsidR="009B7464" w:rsidRDefault="00000000">
      <w:pPr>
        <w:pStyle w:val="BodyText"/>
        <w:ind w:left="1298"/>
      </w:pPr>
      <w:r>
        <w:t>The Proposed Acquisition is not expected to have any material effect on the NA, NA per share and gearing of ABC Group for the financial year ending (“FYE”) 26 September 2025.</w:t>
      </w:r>
    </w:p>
    <w:p w14:paraId="44F9F60B" w14:textId="77777777" w:rsidR="009B7464" w:rsidRDefault="009B7464">
      <w:pPr>
        <w:pStyle w:val="BodyText"/>
        <w:sectPr w:rsidR="009B7464">
          <w:pgSz w:w="11930" w:h="16860"/>
          <w:pgMar w:top="1800" w:right="1417" w:bottom="2060" w:left="1275" w:header="1065" w:footer="1874" w:gutter="0"/>
          <w:cols w:space="720"/>
        </w:sectPr>
      </w:pPr>
      <w:r/>
    </w:p>
    <w:p w14:paraId="4460E9D3" w14:textId="77777777" w:rsidR="009B7464" w:rsidRDefault="00000000">
      <w:pPr>
        <w:pStyle w:val="ListParagraph"/>
        <w:numPr>
          <w:ilvl w:val="1"/>
          <w:numId w:val="2"/>
        </w:numPr>
        <w:tabs>
          <w:tab w:val="left" w:pos="1298"/>
        </w:tabs>
        <w:spacing w:before="82"/>
        <w:rPr>
          <w:sz w:val="20"/>
        </w:rPr>
      </w:pPr>
      <w:r>
        <w:t>Earnings and earnings per share</w:t>
      </w:r>
    </w:p>
    <w:p w14:paraId="54F717B9" w14:textId="5CDBB092" w:rsidR="009B7464" w:rsidRDefault="00000000">
      <w:pPr>
        <w:pStyle w:val="BodyText"/>
        <w:spacing w:before="229"/>
        <w:ind w:left="1298" w:right="56"/>
        <w:jc w:val="both"/>
      </w:pPr>
      <w:r>
        <w:t>Company XYZntribute positively to the earnings of ABC Group in the future.</w:t>
      </w:r>
    </w:p>
    <w:p w14:paraId="2655E668" w14:textId="77777777" w:rsidR="009B7464" w:rsidRDefault="009B7464">
      <w:pPr>
        <w:pStyle w:val="BodyText"/>
      </w:pPr>
      <w:r/>
    </w:p>
    <w:p w14:paraId="4874E139" w14:textId="77777777" w:rsidR="009B7464" w:rsidRDefault="009B7464">
      <w:pPr>
        <w:pStyle w:val="BodyText"/>
        <w:spacing w:before="2"/>
      </w:pPr>
      <w:r/>
    </w:p>
    <w:p w14:paraId="46F11F73" w14:textId="77777777" w:rsidR="009B7464" w:rsidRDefault="00000000">
      <w:pPr>
        <w:pStyle w:val="Heading1"/>
        <w:numPr>
          <w:ilvl w:val="0"/>
          <w:numId w:val="2"/>
        </w:numPr>
        <w:tabs>
          <w:tab w:val="left" w:pos="731"/>
        </w:tabs>
        <w:ind w:hanging="566"/>
      </w:pPr>
      <w:r>
        <w:t>APPROVALS REQUIRED</w:t>
      </w:r>
    </w:p>
    <w:p w14:paraId="2B504D27" w14:textId="084B347F" w:rsidR="009B7464" w:rsidRDefault="00000000">
      <w:pPr>
        <w:pStyle w:val="BodyText"/>
        <w:spacing w:before="228"/>
        <w:ind w:left="731" w:right="53"/>
        <w:jc w:val="both"/>
      </w:pPr>
      <w:r>
        <w:t>The Proposed Acquisition is not subject to the approval of the shareholders of ABC but is subject to the Owner obtaining the Relevant Authority’s Consent.</w:t>
      </w:r>
    </w:p>
    <w:p w14:paraId="42ACAADB" w14:textId="77777777" w:rsidR="009B7464" w:rsidRDefault="009B7464">
      <w:pPr>
        <w:pStyle w:val="BodyText"/>
      </w:pPr>
      <w:r/>
    </w:p>
    <w:p w14:paraId="75237DA7" w14:textId="77777777" w:rsidR="009B7464" w:rsidRDefault="009B7464">
      <w:pPr>
        <w:pStyle w:val="BodyText"/>
        <w:spacing w:before="2"/>
      </w:pPr>
      <w:r/>
    </w:p>
    <w:p w14:paraId="6D9877A9" w14:textId="77777777" w:rsidR="009B7464" w:rsidRDefault="00000000">
      <w:pPr>
        <w:pStyle w:val="Heading1"/>
        <w:numPr>
          <w:ilvl w:val="0"/>
          <w:numId w:val="2"/>
        </w:numPr>
        <w:tabs>
          <w:tab w:val="left" w:pos="731"/>
        </w:tabs>
        <w:ind w:hanging="566"/>
      </w:pPr>
      <w:r>
        <w:t>HIGHEST PERCENTAGE RATIO</w:t>
      </w:r>
    </w:p>
    <w:p w14:paraId="0D338250" w14:textId="02837D31" w:rsidR="009B7464" w:rsidRDefault="00000000">
      <w:pPr>
        <w:pStyle w:val="BodyText"/>
        <w:spacing w:before="229"/>
        <w:ind w:left="731" w:right="60"/>
        <w:jc w:val="both"/>
      </w:pPr>
      <w:r>
        <w:t>Based on the latest audited financial statements of ABC Group for the financial year ended 08 January 2025, the highest percentage ratio applicable to the Proposed Acquisition pursuant to Rule 10.02(g) of the Listing Requirements is 12.83%.</w:t>
      </w:r>
    </w:p>
    <w:p w14:paraId="0C1AEA8B" w14:textId="77777777" w:rsidR="009B7464" w:rsidRDefault="009B7464">
      <w:pPr>
        <w:pStyle w:val="BodyText"/>
      </w:pPr>
      <w:r/>
    </w:p>
    <w:p w14:paraId="7FA481CD" w14:textId="77777777" w:rsidR="009B7464" w:rsidRDefault="009B7464">
      <w:pPr>
        <w:pStyle w:val="BodyText"/>
      </w:pPr>
      <w:r/>
    </w:p>
    <w:p w14:paraId="65149539" w14:textId="77777777" w:rsidR="009B7464" w:rsidRDefault="00000000">
      <w:pPr>
        <w:pStyle w:val="Heading1"/>
        <w:numPr>
          <w:ilvl w:val="0"/>
          <w:numId w:val="2"/>
        </w:numPr>
        <w:tabs>
          <w:tab w:val="left" w:pos="731"/>
        </w:tabs>
        <w:ind w:right="62"/>
      </w:pPr>
      <w:r>
        <w:t>INTERESTS OF DIRECTORS, MAJOR SHAREHOLDERS, CHIEF EXECUTIVE AND/Company XYZNNECTED WITH THEM</w:t>
      </w:r>
    </w:p>
    <w:p w14:paraId="61ADA05E" w14:textId="77777777" w:rsidR="009B7464" w:rsidRDefault="009B7464">
      <w:pPr>
        <w:pStyle w:val="BodyText"/>
        <w:spacing w:before="1"/>
        <w:rPr>
          <w:rFonts w:ascii="Arial"/>
          <w:b/>
        </w:rPr>
      </w:pPr>
      <w:r/>
    </w:p>
    <w:p w14:paraId="5CEE2F3B" w14:textId="77777777" w:rsidR="009B7464" w:rsidRDefault="00000000">
      <w:pPr>
        <w:pStyle w:val="BodyText"/>
        <w:ind w:left="731" w:right="55"/>
        <w:jc w:val="both"/>
      </w:pPr>
      <w:r>
        <w:t>Company XYZmpany and/Company XYZnnected with them (as defined in the Listing Requirements) has any interest, direct or indirect, in the Proposed Acquisition.</w:t>
      </w:r>
    </w:p>
    <w:p w14:paraId="3896D8A7" w14:textId="77777777" w:rsidR="009B7464" w:rsidRDefault="009B7464">
      <w:pPr>
        <w:pStyle w:val="BodyText"/>
      </w:pPr>
      <w:r/>
    </w:p>
    <w:p w14:paraId="0E025FEE" w14:textId="77777777" w:rsidR="009B7464" w:rsidRDefault="009B7464">
      <w:pPr>
        <w:pStyle w:val="BodyText"/>
      </w:pPr>
      <w:r/>
    </w:p>
    <w:p w14:paraId="0C26D819" w14:textId="77777777" w:rsidR="009B7464" w:rsidRDefault="00000000">
      <w:pPr>
        <w:pStyle w:val="Heading1"/>
        <w:numPr>
          <w:ilvl w:val="0"/>
          <w:numId w:val="2"/>
        </w:numPr>
        <w:tabs>
          <w:tab w:val="left" w:pos="731"/>
        </w:tabs>
        <w:ind w:hanging="566"/>
      </w:pPr>
      <w:r>
        <w:t>DIRECTORS’ STATEMENT</w:t>
      </w:r>
    </w:p>
    <w:p w14:paraId="493CF81F" w14:textId="77777777" w:rsidR="009B7464" w:rsidRDefault="009B7464">
      <w:pPr>
        <w:pStyle w:val="BodyText"/>
        <w:spacing w:before="1"/>
        <w:rPr>
          <w:rFonts w:ascii="Arial"/>
          <w:b/>
        </w:rPr>
      </w:pPr>
      <w:r/>
    </w:p>
    <w:p w14:paraId="43078A37" w14:textId="77777777" w:rsidR="009B7464" w:rsidRDefault="00000000">
      <w:pPr>
        <w:pStyle w:val="BodyText"/>
        <w:ind w:left="731" w:right="49"/>
        <w:jc w:val="both"/>
      </w:pPr>
      <w:r>
        <w:t>Company XYZmpany.</w:t>
      </w:r>
    </w:p>
    <w:p w14:paraId="134E285D" w14:textId="77777777" w:rsidR="009B7464" w:rsidRDefault="009B7464">
      <w:pPr>
        <w:pStyle w:val="BodyText"/>
        <w:spacing w:before="229"/>
      </w:pPr>
      <w:r/>
    </w:p>
    <w:p w14:paraId="386F3D18" w14:textId="77777777" w:rsidR="009B7464" w:rsidRDefault="00000000">
      <w:pPr>
        <w:pStyle w:val="Heading1"/>
        <w:numPr>
          <w:ilvl w:val="0"/>
          <w:numId w:val="2"/>
        </w:numPr>
        <w:tabs>
          <w:tab w:val="left" w:pos="731"/>
        </w:tabs>
        <w:spacing w:before="1"/>
        <w:ind w:hanging="566"/>
      </w:pPr>
      <w:r>
        <w:t>ESTIMATED TIMEFRAME FOR EXECUTION OF THE SALE AND PURCHASE AGREEMENT</w:t>
      </w:r>
    </w:p>
    <w:p w14:paraId="1E879C3C" w14:textId="77777777" w:rsidR="009B7464" w:rsidRDefault="00000000">
      <w:pPr>
        <w:pStyle w:val="BodyText"/>
        <w:spacing w:before="228"/>
        <w:ind w:left="731" w:right="54"/>
        <w:jc w:val="both"/>
      </w:pPr>
      <w:r>
        <w:t>Barring any unforeseen circumstances, the Parties will finalise and execute the Sale and Purchase Agreement within 30 days from the date of the Term Sheet.</w:t>
      </w:r>
    </w:p>
    <w:p w14:paraId="53816D75" w14:textId="77777777" w:rsidR="009B7464" w:rsidRDefault="009B7464">
      <w:pPr>
        <w:pStyle w:val="BodyText"/>
      </w:pPr>
      <w:r/>
    </w:p>
    <w:p w14:paraId="2750FC2B" w14:textId="77777777" w:rsidR="009B7464" w:rsidRDefault="009B7464">
      <w:pPr>
        <w:pStyle w:val="BodyText"/>
        <w:spacing w:before="2"/>
      </w:pPr>
      <w:r/>
    </w:p>
    <w:p w14:paraId="68E6CF37" w14:textId="77777777" w:rsidR="009B7464" w:rsidRDefault="00000000">
      <w:pPr>
        <w:pStyle w:val="Heading1"/>
        <w:numPr>
          <w:ilvl w:val="0"/>
          <w:numId w:val="2"/>
        </w:numPr>
        <w:tabs>
          <w:tab w:val="left" w:pos="731"/>
        </w:tabs>
        <w:ind w:hanging="566"/>
      </w:pPr>
      <w:r>
        <w:t>DOCUMENT AVAILABLE FOR INSPECTION</w:t>
      </w:r>
    </w:p>
    <w:p w14:paraId="79A869C3" w14:textId="603988B0" w:rsidR="009B7464" w:rsidRDefault="00000000">
      <w:pPr>
        <w:pStyle w:val="BodyText"/>
        <w:spacing w:before="228"/>
        <w:ind w:left="731" w:right="55"/>
        <w:jc w:val="both"/>
      </w:pPr>
      <w:r>
        <w:t>Company XYZmpany’s registered office at 1, 11th Floor, Wisma Garden, No. 56, Jalan Imbi, 80000 Johor Bahru, Johor(except public holidays) for a period of 3 months from the date of this announcement.</w:t>
      </w:r>
    </w:p>
    <w:p w14:paraId="4CEE568D" w14:textId="77777777" w:rsidR="009B7464" w:rsidRDefault="009B7464">
      <w:pPr>
        <w:pStyle w:val="BodyText"/>
      </w:pPr>
      <w:r/>
    </w:p>
    <w:p w14:paraId="6E7B2AAC" w14:textId="2EA383E8" w:rsidR="009B7464" w:rsidRDefault="00000000">
      <w:pPr>
        <w:pStyle w:val="BodyText"/>
        <w:ind w:left="165"/>
      </w:pPr>
      <w:r>
        <w:t>This announcement is dated 17 August 2025.</w:t>
      </w:r>
    </w:p>
    <w:sectPr w:rsidR="009B7464">
      <w:pgSz w:w="11930" w:h="16860"/>
      <w:pgMar w:top="1800" w:right="1417" w:bottom="2060" w:left="1275" w:header="1065" w:footer="18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535BF" w14:textId="77777777" w:rsidR="005C1F17" w:rsidRDefault="005C1F17">
      <w:r>
        <w:separator/>
      </w:r>
    </w:p>
  </w:endnote>
  <w:endnote w:type="continuationSeparator" w:id="0">
    <w:p w14:paraId="3676783C" w14:textId="77777777" w:rsidR="005C1F17" w:rsidRDefault="005C1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7F9E4" w14:textId="77777777" w:rsidR="009B7464" w:rsidRDefault="00000000">
    <w:pPr>
      <w:pStyle w:val="BodyText"/>
      <w:spacing w:line="14" w:lineRule="auto"/>
    </w:pPr>
    <w:r>
      <w:rPr>
        <w:noProof/>
      </w:rPr>
      <mc:AlternateContent>
        <mc:Choice Requires="wps">
          <w:drawing>
            <wp:anchor distT="0" distB="0" distL="0" distR="0" simplePos="0" relativeHeight="487412736" behindDoc="1" locked="0" layoutInCell="1" allowOverlap="1" wp14:anchorId="00644928" wp14:editId="22573A02">
              <wp:simplePos x="0" y="0"/>
              <wp:positionH relativeFrom="page">
                <wp:posOffset>3711828</wp:posOffset>
              </wp:positionH>
              <wp:positionV relativeFrom="page">
                <wp:posOffset>9370053</wp:posOffset>
              </wp:positionV>
              <wp:extent cx="159385"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19954DEC" w14:textId="77777777" w:rsidR="009B7464"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0644928" id="_x0000_t202" coordsize="21600,21600" o:spt="202" path="m,l,21600r21600,l21600,xe">
              <v:stroke joinstyle="miter"/>
              <v:path gradientshapeok="t" o:connecttype="rect"/>
            </v:shapetype>
            <v:shape id="Textbox 2" o:spid="_x0000_s1026" type="#_x0000_t202" style="position:absolute;margin-left:292.25pt;margin-top:737.8pt;width:12.55pt;height:13.15pt;z-index:-1590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Y6kwEAABoDAAAOAAAAZHJzL2Uyb0RvYy54bWysUsGO0zAQvSPxD5bv1OmiLkvUdAWsQEgr&#10;WGnhA1zHbiJij5lxm/TvGbtpi+CGuEzGmfGb9954fT/5QRwsUg+hkctFJYUNBto+7Br5/dvHV3dS&#10;UNKh1QME28ijJXm/efliPcba3kAHQ2tRMEigeoyN7FKKtVJkOus1LSDawEUH6HXiI+5Ui3pkdD+o&#10;m6q6VSNgGxGMJeK/D6ei3BR856xJX50jm8TQSOaWSsQStzmqzVrXO9Sx681MQ/8DC6/7wEMvUA86&#10;abHH/i8o3xsEApcWBrwC53pjiwZWs6z+UPPc6WiLFjaH4sUm+n+w5svhOT6hSNN7mHiBRQTFRzA/&#10;iL1RY6R67smeUk3cnYVODn3+sgTBF9nb48VPOyVhMtrq7eu7lRSGS8vbN1W1yn6r6+WIlD5Z8CIn&#10;jUReVyGgD4+UTq3nlpnLaXwmkqbtxC053UJ7ZA0jr7GR9HOv0UoxfA7sU975OcFzsj0nmIYPUF5G&#10;lhLg3T6B68vkK+48mRdQuM+PJW/493Ppuj7pzS8AAAD//wMAUEsDBBQABgAIAAAAIQABoKZn4gAA&#10;AA0BAAAPAAAAZHJzL2Rvd25yZXYueG1sTI/BTsMwEETvSPyDtUjcqF3UhCbEqSoEJ6SKNBw4OrGb&#10;WI3XIXbb8PdsT3Db3RnNvik2sxvY2UzBepSwXAhgBluvLXYSPuu3hzWwEBVqNXg0En5MgE15e1Oo&#10;XPsLVua8jx2jEAy5ktDHOOach7Y3ToWFHw2SdvCTU5HWqeN6UhcKdwN/FCLlTlmkD70azUtv2uP+&#10;5CRsv7B6td+75qM6VLauM4Hv6VHK+7t5+wwsmjn+meGKT+hQElPjT6gDGyQk61VCVhJWT0kKjCyp&#10;yGho6JSIZQa8LPj/FuUvAAAA//8DAFBLAQItABQABgAIAAAAIQC2gziS/gAAAOEBAAATAAAAAAAA&#10;AAAAAAAAAAAAAABbQ29udGVudF9UeXBlc10ueG1sUEsBAi0AFAAGAAgAAAAhADj9If/WAAAAlAEA&#10;AAsAAAAAAAAAAAAAAAAALwEAAF9yZWxzLy5yZWxzUEsBAi0AFAAGAAgAAAAhAFRrJjqTAQAAGgMA&#10;AA4AAAAAAAAAAAAAAAAALgIAAGRycy9lMm9Eb2MueG1sUEsBAi0AFAAGAAgAAAAhAAGgpmfiAAAA&#10;DQEAAA8AAAAAAAAAAAAAAAAA7QMAAGRycy9kb3ducmV2LnhtbFBLBQYAAAAABAAEAPMAAAD8BAAA&#10;AAA=&#10;" filled="f" stroked="f">
              <v:textbox inset="0,0,0,0">
                <w:txbxContent>
                  <w:p w14:paraId="19954DEC" w14:textId="77777777" w:rsidR="009B7464"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7297B" w14:textId="77777777" w:rsidR="005C1F17" w:rsidRDefault="005C1F17">
      <w:r>
        <w:separator/>
      </w:r>
    </w:p>
  </w:footnote>
  <w:footnote w:type="continuationSeparator" w:id="0">
    <w:p w14:paraId="518A2085" w14:textId="77777777" w:rsidR="005C1F17" w:rsidRDefault="005C1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4B85" w14:textId="6E89D6DA" w:rsidR="009B7464" w:rsidRDefault="009B7464">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12E"/>
    <w:multiLevelType w:val="hybridMultilevel"/>
    <w:tmpl w:val="4EBE1F9A"/>
    <w:lvl w:ilvl="0" w:tplc="9F18F636">
      <w:start w:val="1"/>
      <w:numFmt w:val="lowerLetter"/>
      <w:lvlText w:val="(%1)"/>
      <w:lvlJc w:val="left"/>
      <w:pPr>
        <w:ind w:left="1298" w:hanging="567"/>
      </w:pPr>
      <w:rPr>
        <w:rFonts w:ascii="Arial MT" w:eastAsia="Arial MT" w:hAnsi="Arial MT" w:cs="Arial MT" w:hint="default"/>
        <w:b w:val="0"/>
        <w:bCs w:val="0"/>
        <w:i w:val="0"/>
        <w:iCs w:val="0"/>
        <w:spacing w:val="0"/>
        <w:w w:val="99"/>
        <w:sz w:val="20"/>
        <w:szCs w:val="20"/>
        <w:lang w:val="en-US" w:eastAsia="en-US" w:bidi="ar-SA"/>
      </w:rPr>
    </w:lvl>
    <w:lvl w:ilvl="1" w:tplc="19727BB8">
      <w:numFmt w:val="bullet"/>
      <w:lvlText w:val="•"/>
      <w:lvlJc w:val="left"/>
      <w:pPr>
        <w:ind w:left="2092" w:hanging="567"/>
      </w:pPr>
      <w:rPr>
        <w:rFonts w:hint="default"/>
        <w:lang w:val="en-US" w:eastAsia="en-US" w:bidi="ar-SA"/>
      </w:rPr>
    </w:lvl>
    <w:lvl w:ilvl="2" w:tplc="D97E6028">
      <w:numFmt w:val="bullet"/>
      <w:lvlText w:val="•"/>
      <w:lvlJc w:val="left"/>
      <w:pPr>
        <w:ind w:left="2885" w:hanging="567"/>
      </w:pPr>
      <w:rPr>
        <w:rFonts w:hint="default"/>
        <w:lang w:val="en-US" w:eastAsia="en-US" w:bidi="ar-SA"/>
      </w:rPr>
    </w:lvl>
    <w:lvl w:ilvl="3" w:tplc="5724890A">
      <w:numFmt w:val="bullet"/>
      <w:lvlText w:val="•"/>
      <w:lvlJc w:val="left"/>
      <w:pPr>
        <w:ind w:left="3678" w:hanging="567"/>
      </w:pPr>
      <w:rPr>
        <w:rFonts w:hint="default"/>
        <w:lang w:val="en-US" w:eastAsia="en-US" w:bidi="ar-SA"/>
      </w:rPr>
    </w:lvl>
    <w:lvl w:ilvl="4" w:tplc="A8D0E02E">
      <w:numFmt w:val="bullet"/>
      <w:lvlText w:val="•"/>
      <w:lvlJc w:val="left"/>
      <w:pPr>
        <w:ind w:left="4471" w:hanging="567"/>
      </w:pPr>
      <w:rPr>
        <w:rFonts w:hint="default"/>
        <w:lang w:val="en-US" w:eastAsia="en-US" w:bidi="ar-SA"/>
      </w:rPr>
    </w:lvl>
    <w:lvl w:ilvl="5" w:tplc="C98C8BB4">
      <w:numFmt w:val="bullet"/>
      <w:lvlText w:val="•"/>
      <w:lvlJc w:val="left"/>
      <w:pPr>
        <w:ind w:left="5264" w:hanging="567"/>
      </w:pPr>
      <w:rPr>
        <w:rFonts w:hint="default"/>
        <w:lang w:val="en-US" w:eastAsia="en-US" w:bidi="ar-SA"/>
      </w:rPr>
    </w:lvl>
    <w:lvl w:ilvl="6" w:tplc="EFF6608E">
      <w:numFmt w:val="bullet"/>
      <w:lvlText w:val="•"/>
      <w:lvlJc w:val="left"/>
      <w:pPr>
        <w:ind w:left="6057" w:hanging="567"/>
      </w:pPr>
      <w:rPr>
        <w:rFonts w:hint="default"/>
        <w:lang w:val="en-US" w:eastAsia="en-US" w:bidi="ar-SA"/>
      </w:rPr>
    </w:lvl>
    <w:lvl w:ilvl="7" w:tplc="A2C8501A">
      <w:numFmt w:val="bullet"/>
      <w:lvlText w:val="•"/>
      <w:lvlJc w:val="left"/>
      <w:pPr>
        <w:ind w:left="6850" w:hanging="567"/>
      </w:pPr>
      <w:rPr>
        <w:rFonts w:hint="default"/>
        <w:lang w:val="en-US" w:eastAsia="en-US" w:bidi="ar-SA"/>
      </w:rPr>
    </w:lvl>
    <w:lvl w:ilvl="8" w:tplc="69541C7C">
      <w:numFmt w:val="bullet"/>
      <w:lvlText w:val="•"/>
      <w:lvlJc w:val="left"/>
      <w:pPr>
        <w:ind w:left="7643" w:hanging="567"/>
      </w:pPr>
      <w:rPr>
        <w:rFonts w:hint="default"/>
        <w:lang w:val="en-US" w:eastAsia="en-US" w:bidi="ar-SA"/>
      </w:rPr>
    </w:lvl>
  </w:abstractNum>
  <w:abstractNum w:abstractNumId="1" w15:restartNumberingAfterBreak="0">
    <w:nsid w:val="1F1E6D82"/>
    <w:multiLevelType w:val="multilevel"/>
    <w:tmpl w:val="B9C2F5C8"/>
    <w:lvl w:ilvl="0">
      <w:start w:val="1"/>
      <w:numFmt w:val="decimal"/>
      <w:lvlText w:val="%1."/>
      <w:lvlJc w:val="left"/>
      <w:pPr>
        <w:ind w:left="731" w:hanging="567"/>
      </w:pPr>
      <w:rPr>
        <w:rFonts w:ascii="Arial" w:eastAsia="Arial" w:hAnsi="Arial" w:cs="Arial" w:hint="default"/>
        <w:b/>
        <w:bCs/>
        <w:i w:val="0"/>
        <w:iCs w:val="0"/>
        <w:spacing w:val="-3"/>
        <w:w w:val="97"/>
        <w:sz w:val="20"/>
        <w:szCs w:val="20"/>
        <w:lang w:val="en-US" w:eastAsia="en-US" w:bidi="ar-SA"/>
      </w:rPr>
    </w:lvl>
    <w:lvl w:ilvl="1">
      <w:start w:val="1"/>
      <w:numFmt w:val="decimal"/>
      <w:lvlText w:val="%1.%2"/>
      <w:lvlJc w:val="left"/>
      <w:pPr>
        <w:ind w:left="1298" w:hanging="567"/>
      </w:pPr>
      <w:rPr>
        <w:rFonts w:ascii="Arial MT" w:eastAsia="Arial MT" w:hAnsi="Arial MT" w:cs="Arial MT" w:hint="default"/>
        <w:b w:val="0"/>
        <w:bCs w:val="0"/>
        <w:i w:val="0"/>
        <w:iCs w:val="0"/>
        <w:spacing w:val="-3"/>
        <w:w w:val="96"/>
        <w:sz w:val="20"/>
        <w:szCs w:val="20"/>
        <w:lang w:val="en-US" w:eastAsia="en-US" w:bidi="ar-SA"/>
      </w:rPr>
    </w:lvl>
    <w:lvl w:ilvl="2">
      <w:start w:val="1"/>
      <w:numFmt w:val="decimal"/>
      <w:lvlText w:val="%1.%2.%3"/>
      <w:lvlJc w:val="left"/>
      <w:pPr>
        <w:ind w:left="2008" w:hanging="711"/>
      </w:pPr>
      <w:rPr>
        <w:rFonts w:ascii="Arial MT" w:eastAsia="Arial MT" w:hAnsi="Arial MT" w:cs="Arial MT" w:hint="default"/>
        <w:b w:val="0"/>
        <w:bCs w:val="0"/>
        <w:i w:val="0"/>
        <w:iCs w:val="0"/>
        <w:spacing w:val="-1"/>
        <w:w w:val="99"/>
        <w:sz w:val="20"/>
        <w:szCs w:val="20"/>
        <w:lang w:val="en-US" w:eastAsia="en-US" w:bidi="ar-SA"/>
      </w:rPr>
    </w:lvl>
    <w:lvl w:ilvl="3">
      <w:start w:val="1"/>
      <w:numFmt w:val="lowerLetter"/>
      <w:lvlText w:val="(%4)"/>
      <w:lvlJc w:val="left"/>
      <w:pPr>
        <w:ind w:left="2717" w:hanging="709"/>
      </w:pPr>
      <w:rPr>
        <w:rFonts w:ascii="Arial MT" w:eastAsia="Arial MT" w:hAnsi="Arial MT" w:cs="Arial MT" w:hint="default"/>
        <w:b w:val="0"/>
        <w:bCs w:val="0"/>
        <w:i w:val="0"/>
        <w:iCs w:val="0"/>
        <w:spacing w:val="0"/>
        <w:w w:val="99"/>
        <w:sz w:val="20"/>
        <w:szCs w:val="20"/>
        <w:lang w:val="en-US" w:eastAsia="en-US" w:bidi="ar-SA"/>
      </w:rPr>
    </w:lvl>
    <w:lvl w:ilvl="4">
      <w:numFmt w:val="bullet"/>
      <w:lvlText w:val="•"/>
      <w:lvlJc w:val="left"/>
      <w:pPr>
        <w:ind w:left="3649" w:hanging="709"/>
      </w:pPr>
      <w:rPr>
        <w:rFonts w:hint="default"/>
        <w:lang w:val="en-US" w:eastAsia="en-US" w:bidi="ar-SA"/>
      </w:rPr>
    </w:lvl>
    <w:lvl w:ilvl="5">
      <w:numFmt w:val="bullet"/>
      <w:lvlText w:val="•"/>
      <w:lvlJc w:val="left"/>
      <w:pPr>
        <w:ind w:left="4579" w:hanging="709"/>
      </w:pPr>
      <w:rPr>
        <w:rFonts w:hint="default"/>
        <w:lang w:val="en-US" w:eastAsia="en-US" w:bidi="ar-SA"/>
      </w:rPr>
    </w:lvl>
    <w:lvl w:ilvl="6">
      <w:numFmt w:val="bullet"/>
      <w:lvlText w:val="•"/>
      <w:lvlJc w:val="left"/>
      <w:pPr>
        <w:ind w:left="5509" w:hanging="709"/>
      </w:pPr>
      <w:rPr>
        <w:rFonts w:hint="default"/>
        <w:lang w:val="en-US" w:eastAsia="en-US" w:bidi="ar-SA"/>
      </w:rPr>
    </w:lvl>
    <w:lvl w:ilvl="7">
      <w:numFmt w:val="bullet"/>
      <w:lvlText w:val="•"/>
      <w:lvlJc w:val="left"/>
      <w:pPr>
        <w:ind w:left="6439" w:hanging="709"/>
      </w:pPr>
      <w:rPr>
        <w:rFonts w:hint="default"/>
        <w:lang w:val="en-US" w:eastAsia="en-US" w:bidi="ar-SA"/>
      </w:rPr>
    </w:lvl>
    <w:lvl w:ilvl="8">
      <w:numFmt w:val="bullet"/>
      <w:lvlText w:val="•"/>
      <w:lvlJc w:val="left"/>
      <w:pPr>
        <w:ind w:left="7369" w:hanging="709"/>
      </w:pPr>
      <w:rPr>
        <w:rFonts w:hint="default"/>
        <w:lang w:val="en-US" w:eastAsia="en-US" w:bidi="ar-SA"/>
      </w:rPr>
    </w:lvl>
  </w:abstractNum>
  <w:abstractNum w:abstractNumId="2" w15:restartNumberingAfterBreak="0">
    <w:nsid w:val="51CB30C1"/>
    <w:multiLevelType w:val="hybridMultilevel"/>
    <w:tmpl w:val="207A4128"/>
    <w:lvl w:ilvl="0" w:tplc="1806DE30">
      <w:start w:val="1"/>
      <w:numFmt w:val="lowerRoman"/>
      <w:lvlText w:val="(%1)"/>
      <w:lvlJc w:val="left"/>
      <w:pPr>
        <w:ind w:left="712" w:hanging="606"/>
      </w:pPr>
      <w:rPr>
        <w:rFonts w:ascii="Arial MT" w:eastAsia="Arial MT" w:hAnsi="Arial MT" w:cs="Arial MT" w:hint="default"/>
        <w:b w:val="0"/>
        <w:bCs w:val="0"/>
        <w:i w:val="0"/>
        <w:iCs w:val="0"/>
        <w:spacing w:val="-2"/>
        <w:w w:val="99"/>
        <w:sz w:val="20"/>
        <w:szCs w:val="20"/>
        <w:lang w:val="en-US" w:eastAsia="en-US" w:bidi="ar-SA"/>
      </w:rPr>
    </w:lvl>
    <w:lvl w:ilvl="1" w:tplc="6776820E">
      <w:numFmt w:val="bullet"/>
      <w:lvlText w:val="•"/>
      <w:lvlJc w:val="left"/>
      <w:pPr>
        <w:ind w:left="1157" w:hanging="606"/>
      </w:pPr>
      <w:rPr>
        <w:rFonts w:hint="default"/>
        <w:lang w:val="en-US" w:eastAsia="en-US" w:bidi="ar-SA"/>
      </w:rPr>
    </w:lvl>
    <w:lvl w:ilvl="2" w:tplc="D8389714">
      <w:numFmt w:val="bullet"/>
      <w:lvlText w:val="•"/>
      <w:lvlJc w:val="left"/>
      <w:pPr>
        <w:ind w:left="1594" w:hanging="606"/>
      </w:pPr>
      <w:rPr>
        <w:rFonts w:hint="default"/>
        <w:lang w:val="en-US" w:eastAsia="en-US" w:bidi="ar-SA"/>
      </w:rPr>
    </w:lvl>
    <w:lvl w:ilvl="3" w:tplc="76D2DFB0">
      <w:numFmt w:val="bullet"/>
      <w:lvlText w:val="•"/>
      <w:lvlJc w:val="left"/>
      <w:pPr>
        <w:ind w:left="2032" w:hanging="606"/>
      </w:pPr>
      <w:rPr>
        <w:rFonts w:hint="default"/>
        <w:lang w:val="en-US" w:eastAsia="en-US" w:bidi="ar-SA"/>
      </w:rPr>
    </w:lvl>
    <w:lvl w:ilvl="4" w:tplc="0EE8389A">
      <w:numFmt w:val="bullet"/>
      <w:lvlText w:val="•"/>
      <w:lvlJc w:val="left"/>
      <w:pPr>
        <w:ind w:left="2469" w:hanging="606"/>
      </w:pPr>
      <w:rPr>
        <w:rFonts w:hint="default"/>
        <w:lang w:val="en-US" w:eastAsia="en-US" w:bidi="ar-SA"/>
      </w:rPr>
    </w:lvl>
    <w:lvl w:ilvl="5" w:tplc="E48EC05E">
      <w:numFmt w:val="bullet"/>
      <w:lvlText w:val="•"/>
      <w:lvlJc w:val="left"/>
      <w:pPr>
        <w:ind w:left="2907" w:hanging="606"/>
      </w:pPr>
      <w:rPr>
        <w:rFonts w:hint="default"/>
        <w:lang w:val="en-US" w:eastAsia="en-US" w:bidi="ar-SA"/>
      </w:rPr>
    </w:lvl>
    <w:lvl w:ilvl="6" w:tplc="60A05FF6">
      <w:numFmt w:val="bullet"/>
      <w:lvlText w:val="•"/>
      <w:lvlJc w:val="left"/>
      <w:pPr>
        <w:ind w:left="3344" w:hanging="606"/>
      </w:pPr>
      <w:rPr>
        <w:rFonts w:hint="default"/>
        <w:lang w:val="en-US" w:eastAsia="en-US" w:bidi="ar-SA"/>
      </w:rPr>
    </w:lvl>
    <w:lvl w:ilvl="7" w:tplc="E886234A">
      <w:numFmt w:val="bullet"/>
      <w:lvlText w:val="•"/>
      <w:lvlJc w:val="left"/>
      <w:pPr>
        <w:ind w:left="3781" w:hanging="606"/>
      </w:pPr>
      <w:rPr>
        <w:rFonts w:hint="default"/>
        <w:lang w:val="en-US" w:eastAsia="en-US" w:bidi="ar-SA"/>
      </w:rPr>
    </w:lvl>
    <w:lvl w:ilvl="8" w:tplc="4F6AF63A">
      <w:numFmt w:val="bullet"/>
      <w:lvlText w:val="•"/>
      <w:lvlJc w:val="left"/>
      <w:pPr>
        <w:ind w:left="4219" w:hanging="606"/>
      </w:pPr>
      <w:rPr>
        <w:rFonts w:hint="default"/>
        <w:lang w:val="en-US" w:eastAsia="en-US" w:bidi="ar-SA"/>
      </w:rPr>
    </w:lvl>
  </w:abstractNum>
  <w:abstractNum w:abstractNumId="3" w15:restartNumberingAfterBreak="0">
    <w:nsid w:val="5C946405"/>
    <w:multiLevelType w:val="multilevel"/>
    <w:tmpl w:val="A34C39DA"/>
    <w:lvl w:ilvl="0">
      <w:start w:val="3"/>
      <w:numFmt w:val="decimal"/>
      <w:lvlText w:val="%1"/>
      <w:lvlJc w:val="left"/>
      <w:pPr>
        <w:ind w:left="731" w:hanging="567"/>
      </w:pPr>
      <w:rPr>
        <w:rFonts w:ascii="Arial" w:eastAsia="Arial" w:hAnsi="Arial" w:cs="Arial" w:hint="default"/>
        <w:b/>
        <w:bCs/>
        <w:i w:val="0"/>
        <w:iCs w:val="0"/>
        <w:spacing w:val="0"/>
        <w:w w:val="99"/>
        <w:sz w:val="20"/>
        <w:szCs w:val="20"/>
        <w:lang w:val="en-US" w:eastAsia="en-US" w:bidi="ar-SA"/>
      </w:rPr>
    </w:lvl>
    <w:lvl w:ilvl="1">
      <w:start w:val="1"/>
      <w:numFmt w:val="decimal"/>
      <w:lvlText w:val="%1.%2"/>
      <w:lvlJc w:val="left"/>
      <w:pPr>
        <w:ind w:left="1298" w:hanging="567"/>
      </w:pPr>
      <w:rPr>
        <w:rFonts w:ascii="Arial MT" w:eastAsia="Arial MT" w:hAnsi="Arial MT" w:cs="Arial MT" w:hint="default"/>
        <w:b w:val="0"/>
        <w:bCs w:val="0"/>
        <w:i w:val="0"/>
        <w:iCs w:val="0"/>
        <w:spacing w:val="-1"/>
        <w:w w:val="99"/>
        <w:sz w:val="20"/>
        <w:szCs w:val="20"/>
        <w:lang w:val="en-US" w:eastAsia="en-US" w:bidi="ar-SA"/>
      </w:rPr>
    </w:lvl>
    <w:lvl w:ilvl="2">
      <w:numFmt w:val="bullet"/>
      <w:lvlText w:val="•"/>
      <w:lvlJc w:val="left"/>
      <w:pPr>
        <w:ind w:left="2180" w:hanging="567"/>
      </w:pPr>
      <w:rPr>
        <w:rFonts w:hint="default"/>
        <w:lang w:val="en-US" w:eastAsia="en-US" w:bidi="ar-SA"/>
      </w:rPr>
    </w:lvl>
    <w:lvl w:ilvl="3">
      <w:numFmt w:val="bullet"/>
      <w:lvlText w:val="•"/>
      <w:lvlJc w:val="left"/>
      <w:pPr>
        <w:ind w:left="3061" w:hanging="567"/>
      </w:pPr>
      <w:rPr>
        <w:rFonts w:hint="default"/>
        <w:lang w:val="en-US" w:eastAsia="en-US" w:bidi="ar-SA"/>
      </w:rPr>
    </w:lvl>
    <w:lvl w:ilvl="4">
      <w:numFmt w:val="bullet"/>
      <w:lvlText w:val="•"/>
      <w:lvlJc w:val="left"/>
      <w:pPr>
        <w:ind w:left="3942" w:hanging="567"/>
      </w:pPr>
      <w:rPr>
        <w:rFonts w:hint="default"/>
        <w:lang w:val="en-US" w:eastAsia="en-US" w:bidi="ar-SA"/>
      </w:rPr>
    </w:lvl>
    <w:lvl w:ilvl="5">
      <w:numFmt w:val="bullet"/>
      <w:lvlText w:val="•"/>
      <w:lvlJc w:val="left"/>
      <w:pPr>
        <w:ind w:left="4823" w:hanging="567"/>
      </w:pPr>
      <w:rPr>
        <w:rFonts w:hint="default"/>
        <w:lang w:val="en-US" w:eastAsia="en-US" w:bidi="ar-SA"/>
      </w:rPr>
    </w:lvl>
    <w:lvl w:ilvl="6">
      <w:numFmt w:val="bullet"/>
      <w:lvlText w:val="•"/>
      <w:lvlJc w:val="left"/>
      <w:pPr>
        <w:ind w:left="5704" w:hanging="567"/>
      </w:pPr>
      <w:rPr>
        <w:rFonts w:hint="default"/>
        <w:lang w:val="en-US" w:eastAsia="en-US" w:bidi="ar-SA"/>
      </w:rPr>
    </w:lvl>
    <w:lvl w:ilvl="7">
      <w:numFmt w:val="bullet"/>
      <w:lvlText w:val="•"/>
      <w:lvlJc w:val="left"/>
      <w:pPr>
        <w:ind w:left="6585" w:hanging="567"/>
      </w:pPr>
      <w:rPr>
        <w:rFonts w:hint="default"/>
        <w:lang w:val="en-US" w:eastAsia="en-US" w:bidi="ar-SA"/>
      </w:rPr>
    </w:lvl>
    <w:lvl w:ilvl="8">
      <w:numFmt w:val="bullet"/>
      <w:lvlText w:val="•"/>
      <w:lvlJc w:val="left"/>
      <w:pPr>
        <w:ind w:left="7466" w:hanging="567"/>
      </w:pPr>
      <w:rPr>
        <w:rFonts w:hint="default"/>
        <w:lang w:val="en-US" w:eastAsia="en-US" w:bidi="ar-SA"/>
      </w:rPr>
    </w:lvl>
  </w:abstractNum>
  <w:num w:numId="1" w16cid:durableId="1856378267">
    <w:abstractNumId w:val="0"/>
  </w:num>
  <w:num w:numId="2" w16cid:durableId="1919512140">
    <w:abstractNumId w:val="3"/>
  </w:num>
  <w:num w:numId="3" w16cid:durableId="246573449">
    <w:abstractNumId w:val="2"/>
  </w:num>
  <w:num w:numId="4" w16cid:durableId="454370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7464"/>
    <w:rsid w:val="00032A6B"/>
    <w:rsid w:val="00092BA0"/>
    <w:rsid w:val="001041A6"/>
    <w:rsid w:val="00270AE6"/>
    <w:rsid w:val="005C1F17"/>
    <w:rsid w:val="00695B98"/>
    <w:rsid w:val="009B7464"/>
    <w:rsid w:val="00D7312E"/>
    <w:rsid w:val="00DF7153"/>
    <w:rsid w:val="00FA76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68187"/>
  <w15:docId w15:val="{EE08619B-B542-4299-B7BE-DEA5B4AD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31" w:hanging="566"/>
      <w:outlineLvl w:val="0"/>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31" w:hanging="7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312E"/>
    <w:pPr>
      <w:tabs>
        <w:tab w:val="center" w:pos="4680"/>
        <w:tab w:val="right" w:pos="9360"/>
      </w:tabs>
    </w:pPr>
  </w:style>
  <w:style w:type="character" w:customStyle="1" w:styleId="HeaderChar">
    <w:name w:val="Header Char"/>
    <w:basedOn w:val="DefaultParagraphFont"/>
    <w:link w:val="Header"/>
    <w:uiPriority w:val="99"/>
    <w:rsid w:val="00D7312E"/>
    <w:rPr>
      <w:rFonts w:ascii="Arial MT" w:eastAsia="Arial MT" w:hAnsi="Arial MT" w:cs="Arial MT"/>
    </w:rPr>
  </w:style>
  <w:style w:type="paragraph" w:styleId="Footer">
    <w:name w:val="footer"/>
    <w:basedOn w:val="Normal"/>
    <w:link w:val="FooterChar"/>
    <w:uiPriority w:val="99"/>
    <w:unhideWhenUsed/>
    <w:rsid w:val="00D7312E"/>
    <w:pPr>
      <w:tabs>
        <w:tab w:val="center" w:pos="4680"/>
        <w:tab w:val="right" w:pos="9360"/>
      </w:tabs>
    </w:pPr>
  </w:style>
  <w:style w:type="character" w:customStyle="1" w:styleId="FooterChar">
    <w:name w:val="Footer Char"/>
    <w:basedOn w:val="DefaultParagraphFont"/>
    <w:link w:val="Footer"/>
    <w:uiPriority w:val="99"/>
    <w:rsid w:val="00D7312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790941">
      <w:bodyDiv w:val="1"/>
      <w:marLeft w:val="0"/>
      <w:marRight w:val="0"/>
      <w:marTop w:val="0"/>
      <w:marBottom w:val="0"/>
      <w:divBdr>
        <w:top w:val="none" w:sz="0" w:space="0" w:color="auto"/>
        <w:left w:val="none" w:sz="0" w:space="0" w:color="auto"/>
        <w:bottom w:val="none" w:sz="0" w:space="0" w:color="auto"/>
        <w:right w:val="none" w:sz="0" w:space="0" w:color="auto"/>
      </w:divBdr>
    </w:div>
    <w:div w:id="1367947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Taimoor Akhtar</cp:lastModifiedBy>
  <cp:revision>3</cp:revision>
  <dcterms:created xsi:type="dcterms:W3CDTF">2025-07-22T14:16:00Z</dcterms:created>
  <dcterms:modified xsi:type="dcterms:W3CDTF">2025-07-23T06:01:00Z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2023-04-26T00:00:00Z</vt:filetime>
  </property>
</Properties>
</file>