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5B3A29"/>
          <w:sz w:val="36"/>
          <w:szCs w:val="36"/>
        </w:rPr>
        <w:t xml:space="preserve">Product Line Profitability &amp; Margin Performance</w:t>
      </w:r>
    </w:p>
    <w:p>
      <w:pPr>
        <w:spacing w:after="300"/>
      </w:pPr>
      <w:r>
        <w:rPr>
          <w:i/>
          <w:iCs/>
          <w:color w:val="C0392B"/>
          <w:sz w:val="24"/>
          <w:szCs w:val="24"/>
        </w:rPr>
        <w:t xml:space="preserve">Executive Summary — Nassau Candy Distributor</w:t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/>
      </w:pPr>
      <w:r>
        <w:t xml:space="preserve">Sales volume alone is not a reliable indicator of profitability. This summary presents the headline findings of a full profitability and margin analysis of 10,180 validated Nassau Candy order records (Jan 2024 – Dec 2025, 15 products, 3 divisions), intended to inform pricing, sourcing, and product-portfolio decisions.</w:t>
      </w:r>
    </w:p>
    <w:p>
      <w:pPr>
        <w:pStyle w:val="Heading1"/>
        <w:spacing w:after="140" w:before="280"/>
      </w:pPr>
      <w:r>
        <w:t xml:space="preserve">Headline Numbers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200"/>
      </w:tblGrid>
      <w:tr>
        <w:trPr>
          <w:tblHeader/>
        </w:trPr>
        <w:tc>
          <w:tcPr>
            <w:tcW w:type="dxa" w:w="5200"/>
            <w:shd w:fill="5B3A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200"/>
            <w:shd w:fill="5B3A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Sales (period)</w:t>
            </w:r>
          </w:p>
        </w:tc>
        <w:tc>
          <w:tcPr>
            <w:tcW w:type="dxa" w:w="3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$141,645.58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Gross Profit (period)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$93,350.67</w:t>
            </w:r>
          </w:p>
        </w:tc>
      </w:tr>
      <w:tr>
        <w:tc>
          <w:tcPr>
            <w:tcW w:type="dxa" w:w="5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Overall Gross Margin</w:t>
            </w:r>
          </w:p>
        </w:tc>
        <w:tc>
          <w:tcPr>
            <w:tcW w:type="dxa" w:w="3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65.9%</w:t>
            </w:r>
          </w:p>
        </w:tc>
      </w:tr>
      <w:tr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Products Generating 80% of Profit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of 15 (33%)</w:t>
            </w:r>
          </w:p>
        </w:tc>
      </w:tr>
      <w:tr>
        <w:tc>
          <w:tcPr>
            <w:tcW w:type="dxa" w:w="5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States Generating 80% of Revenue</w:t>
            </w:r>
          </w:p>
        </w:tc>
        <w:tc>
          <w:tcPr>
            <w:tcW w:type="dxa" w:w="3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 of 59 (27%)</w:t>
            </w:r>
          </w:p>
        </w:tc>
      </w:tr>
    </w:tbl>
    <w:p>
      <w:pPr>
        <w:pStyle w:val="Heading1"/>
        <w:spacing w:after="140" w:before="28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Profit is highly concentrated. Five Chocolate-division Wonka Bar products generate 92.9% of revenue and 95.1% of gross profit. The other ten products across the Sugar and Other divisions are collectively marginal to company profitability.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Chocolate is the strongest division by every measure — highest margin (67.4%), highest volume, and it converts revenue to profit slightly more efficiently than its revenue share alone would predict.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Other division underperforms structurally. At a 44.8% gross margin (more than 20 points below Chocolate), it captures less profit share than its revenue share would imply — driven largely by one product, Kazookles.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One product requires immediate action. Kazookles sells at meaningful volume but returns only a 7.7% gross margin, with a cost-to-sales ratio of 92.3% — the highest cost burden of any product in the catalog, sourced from a single factory whose blended margin (11.9%) is far below the company average.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long tail of four Sugar-division products (Fizzy Lifting Drinks, SweeTARTS, Nerds, Fun Dip) contributes under 0.1% of total profit combined and is a candidate for portfolio rationalization.</w:t>
      </w:r>
    </w:p>
    <w:p>
      <w:pPr>
        <w:pStyle w:val="Heading1"/>
        <w:spacing w:after="140" w:before="280"/>
      </w:pPr>
      <w:r>
        <w:t xml:space="preserve">Visual Snapshot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34395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5d52"/>
          <w:sz w:val="18"/>
          <w:szCs w:val="18"/>
        </w:rPr>
        <w:t xml:space="preserve">Product portfolio by sales and margin. Five Chocolate SKUs (green) anchor company profitability.</w:t>
      </w:r>
    </w:p>
    <w:p>
      <w:pPr>
        <w:pStyle w:val="Heading1"/>
        <w:spacing w:after="140" w:before="280"/>
      </w:pPr>
      <w:r>
        <w:t xml:space="preserve">Recommended Actions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2600"/>
      </w:tblGrid>
      <w:tr>
        <w:trPr>
          <w:tblHeader/>
        </w:trPr>
        <w:tc>
          <w:tcPr>
            <w:tcW w:type="dxa" w:w="1200"/>
            <w:shd w:fill="5B3A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600"/>
            <w:shd w:fill="5B3A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00"/>
            <w:shd w:fill="5B3A2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Expected Impact</w:t>
            </w:r>
          </w:p>
        </w:tc>
      </w:tr>
      <w:tr>
        <w:tc>
          <w:tcPr>
            <w:tcW w:type="dxa" w:w="1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4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Protect supply &amp; shelf presence for the 5 core Wonka Bar products</w:t>
            </w:r>
          </w:p>
        </w:tc>
        <w:tc>
          <w:tcPr>
            <w:tcW w:type="dxa" w:w="2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Safeguards ~95% of current profit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Renegotiate factory cost or reprice Kazookles; review for discontinuation if unresolved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Removes largest single margin drag</w:t>
            </w:r>
          </w:p>
        </w:tc>
      </w:tr>
      <w:tr>
        <w:tc>
          <w:tcPr>
            <w:tcW w:type="dxa" w:w="1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4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 pricing on Lickable Wallpaper &amp; Wonka Gum (Volume Traps)</w:t>
            </w:r>
          </w:p>
        </w:tc>
        <w:tc>
          <w:tcPr>
            <w:tcW w:type="dxa" w:w="2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Improves Other-division margin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Rationalize low-volume Sugar-division long tail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Reduces SKU overhead, minimal profit impact</w:t>
            </w:r>
          </w:p>
        </w:tc>
      </w:tr>
      <w:tr>
        <w:tc>
          <w:tcPr>
            <w:tcW w:type="dxa" w:w="12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4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Monitor CA / NY / TX revenue concentration in regional planning</w:t>
            </w:r>
          </w:p>
        </w:tc>
        <w:tc>
          <w:tcPr>
            <w:tcW w:type="dxa" w:w="2600"/>
            <w:shd w:fill="F7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Reduces geographic dependency risk</w:t>
            </w:r>
          </w:p>
        </w:tc>
      </w:tr>
    </w:tbl>
    <w:p>
      <w:pPr>
        <w:pStyle w:val="Heading1"/>
        <w:spacing w:after="140" w:before="280"/>
      </w:pPr>
      <w:r>
        <w:t xml:space="preserve">Bottom Line</w:t>
      </w:r>
    </w:p>
    <w:p>
      <w:pPr>
        <w:spacing w:after="160"/>
      </w:pPr>
      <w:r>
        <w:t xml:space="preserve">Nassau Candy's profitability depends on a small, high-performing core of Chocolate products. The most impactful near-term lever is not growing new products, but fixing the single largest identified margin drag — Kazookles — and making a deliberate decision on the low-volume Sugar-division tail. Full methodology, product-by-product detail, and an interactive dashboard for ongoing monitoring accompany this summary.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d52"/>
        <w:sz w:val="16"/>
        <w:szCs w:val="16"/>
      </w:rPr>
      <w:t xml:space="preserve">Prepared from order-level data, Jan 2024 – Dec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d52"/>
        <w:sz w:val="16"/>
        <w:szCs w:val="16"/>
      </w:rPr>
      <w:t xml:space="preserve">Nassau Candy Distributor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3A29" w:sz="6" w:space="4"/>
      </w:pBdr>
      <w:spacing w:after="140" w:before="280"/>
    </w:pPr>
    <w:rPr>
      <w:rFonts w:ascii="Georgia" w:cs="Georgia" w:eastAsia="Georgia" w:hAnsi="Georgia"/>
      <w:b/>
      <w:bCs/>
      <w:color w:val="5B3A2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cac7ce52bd8b3d647a6b613813f6152269e9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2026-07-27T07:47:42.051Z</dcterms:created>
  <dcterms:modified xsi:type="dcterms:W3CDTF">2026-07-27T07:47:42.051Z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