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87E53" w14:textId="77777777" w:rsidR="00F35A35" w:rsidRDefault="00F35A35">
      <w:pPr>
        <w:spacing w:before="2200"/>
      </w:pPr>
    </w:p>
    <w:p w14:paraId="56031ADB" w14:textId="77777777" w:rsidR="00F35A35" w:rsidRDefault="00000000">
      <w:pPr>
        <w:jc w:val="center"/>
      </w:pPr>
      <w:r>
        <w:rPr>
          <w:sz w:val="72"/>
          <w:szCs w:val="72"/>
        </w:rPr>
        <w:t>🍬</w:t>
      </w:r>
    </w:p>
    <w:p w14:paraId="502A2231" w14:textId="77777777" w:rsidR="00F35A35" w:rsidRDefault="00000000">
      <w:pPr>
        <w:spacing w:before="200" w:after="120"/>
        <w:jc w:val="center"/>
      </w:pPr>
      <w:r>
        <w:rPr>
          <w:rFonts w:ascii="Georgia" w:eastAsia="Georgia" w:hAnsi="Georgia" w:cs="Georgia"/>
          <w:b/>
          <w:bCs/>
          <w:color w:val="5B3A29"/>
          <w:sz w:val="44"/>
          <w:szCs w:val="44"/>
        </w:rPr>
        <w:t>Product Line Profitability &amp; Margin</w:t>
      </w:r>
    </w:p>
    <w:p w14:paraId="7B6E9B72" w14:textId="77777777" w:rsidR="00F35A35" w:rsidRDefault="00000000">
      <w:pPr>
        <w:spacing w:after="400"/>
        <w:jc w:val="center"/>
      </w:pPr>
      <w:r>
        <w:rPr>
          <w:rFonts w:ascii="Georgia" w:eastAsia="Georgia" w:hAnsi="Georgia" w:cs="Georgia"/>
          <w:b/>
          <w:bCs/>
          <w:color w:val="5B3A29"/>
          <w:sz w:val="44"/>
          <w:szCs w:val="44"/>
        </w:rPr>
        <w:t>Performance Analysis</w:t>
      </w:r>
    </w:p>
    <w:p w14:paraId="5D4E68F6" w14:textId="77777777" w:rsidR="00F35A35" w:rsidRDefault="00000000">
      <w:pPr>
        <w:spacing w:after="100"/>
        <w:jc w:val="center"/>
      </w:pPr>
      <w:r>
        <w:rPr>
          <w:i/>
          <w:iCs/>
          <w:color w:val="C0392B"/>
          <w:sz w:val="28"/>
          <w:szCs w:val="28"/>
        </w:rPr>
        <w:t>Nassau Candy Distributor</w:t>
      </w:r>
    </w:p>
    <w:p w14:paraId="241D8BA5" w14:textId="77777777" w:rsidR="00F35A35" w:rsidRDefault="00000000">
      <w:pPr>
        <w:spacing w:after="800"/>
        <w:jc w:val="center"/>
      </w:pPr>
      <w:r>
        <w:rPr>
          <w:color w:val="6B5D52"/>
        </w:rPr>
        <w:t>Research Paper — Exploratory Data Analysis, Insights &amp; Recommendations</w:t>
      </w:r>
    </w:p>
    <w:p w14:paraId="1C831076" w14:textId="77777777" w:rsidR="00F35A35" w:rsidRDefault="00000000">
      <w:pPr>
        <w:spacing w:after="40"/>
        <w:jc w:val="center"/>
      </w:pPr>
      <w:r>
        <w:rPr>
          <w:sz w:val="20"/>
          <w:szCs w:val="20"/>
        </w:rPr>
        <w:t>Prepared for: Nassau Candy Distributor</w:t>
      </w:r>
    </w:p>
    <w:p w14:paraId="6B1B3856" w14:textId="77777777" w:rsidR="00F35A35" w:rsidRDefault="00000000">
      <w:pPr>
        <w:spacing w:after="40"/>
        <w:jc w:val="center"/>
      </w:pPr>
      <w:r>
        <w:rPr>
          <w:sz w:val="20"/>
          <w:szCs w:val="20"/>
        </w:rPr>
        <w:t>Analysis period: 2 Jan 2024 – 31 Dec 2025</w:t>
      </w:r>
    </w:p>
    <w:p w14:paraId="0E4D214C" w14:textId="77777777" w:rsidR="00F35A35" w:rsidRDefault="00000000">
      <w:pPr>
        <w:spacing w:after="40"/>
        <w:jc w:val="center"/>
      </w:pPr>
      <w:r>
        <w:rPr>
          <w:sz w:val="20"/>
          <w:szCs w:val="20"/>
        </w:rPr>
        <w:t>Dataset: 10,180 validated order-level transactions across 15 products / 3 divisions</w:t>
      </w:r>
    </w:p>
    <w:p w14:paraId="4003235F" w14:textId="77777777" w:rsidR="00F35A35" w:rsidRDefault="00000000">
      <w:r>
        <w:br w:type="page"/>
      </w:r>
    </w:p>
    <w:p w14:paraId="5370C748" w14:textId="77777777" w:rsidR="00F35A35" w:rsidRDefault="00F35A35">
      <w:pPr>
        <w:sectPr w:rsidR="00F35A35">
          <w:pgSz w:w="12240" w:h="15840"/>
          <w:pgMar w:top="1440" w:right="1440" w:bottom="1440" w:left="1440" w:header="708" w:footer="708" w:gutter="0"/>
          <w:cols w:space="720"/>
          <w:docGrid w:linePitch="360"/>
        </w:sectPr>
      </w:pPr>
    </w:p>
    <w:p w14:paraId="2899F1D8" w14:textId="77777777" w:rsidR="00F35A35" w:rsidRDefault="00000000">
      <w:pPr>
        <w:pStyle w:val="Heading1"/>
      </w:pPr>
      <w:r>
        <w:lastRenderedPageBreak/>
        <w:t>1. Executive Overview</w:t>
      </w:r>
    </w:p>
    <w:p w14:paraId="34DFB965" w14:textId="77777777" w:rsidR="00F35A35" w:rsidRDefault="00000000">
      <w:pPr>
        <w:spacing w:after="160"/>
      </w:pPr>
      <w:r>
        <w:t>Sales volume alone doesn’t tell Nassau Candy much about which products are actually worth selling. This report goes back through every recorded order — 10,180 validated transactions from January 2024 through December 2025, covering 15 products across three divisions (Chocolate, Sugar, Other) — and looks at them through gross margin, profit contribution, and cost structure instead of revenue alone.</w:t>
      </w:r>
    </w:p>
    <w:p w14:paraId="05D82DF0" w14:textId="77777777" w:rsidR="00F35A35" w:rsidRDefault="00000000">
      <w:pPr>
        <w:spacing w:after="160"/>
      </w:pPr>
      <w:r>
        <w:t>The main finding is that profit at Nassau Candy is concentrated in a handful of products. Five Chocolate-division Wonka Bar items bring in roughly 95% of total gross profit, even though they make up only a third of the active catalog. The Chocolate division as a whole accounts for 92.9% of revenue but 95.1% of profit — it’s outperforming its revenue share — while the Other division (Wonka Gum, Kazookles, Lickable Wallpaper) turns a noticeably smaller share of its revenue into profit. A few low-margin, high-cost items, Kazookles above all, are dragging down blended profitability and are flagged below for pricing or sourcing review.</w:t>
      </w:r>
    </w:p>
    <w:p w14:paraId="51670649" w14:textId="77777777" w:rsidR="00F35A35" w:rsidRDefault="00000000">
      <w:pPr>
        <w:spacing w:after="160"/>
      </w:pPr>
      <w:r>
        <w:t>Company-wide gross margin sits at 65.9%, but that number hides a lot of spread — product margins range all the way from 7.7% (Kazookles) to 80.0% (Everlasting Gobstopper). Section 8’s recommendations center on three things: protecting the five Wonka Bar SKUs that drive most of the profit, repricing or renegotiating costs on the flagged high-risk items, and treating the long tail of low-volume Sugar-division products as a rationalization call rather than a growth bet.</w:t>
      </w:r>
    </w:p>
    <w:p w14:paraId="7868FDE6" w14:textId="77777777" w:rsidR="00F35A35" w:rsidRDefault="00000000">
      <w:pPr>
        <w:pStyle w:val="Heading1"/>
      </w:pPr>
      <w:r>
        <w:t>2. Background &amp; Problem Statement</w:t>
      </w:r>
    </w:p>
    <w:p w14:paraId="6EE16985" w14:textId="77777777" w:rsidR="00F35A35" w:rsidRDefault="00000000">
      <w:pPr>
        <w:spacing w:after="160"/>
      </w:pPr>
      <w:r>
        <w:t>For a distributor like Nassau Candy, sales volume can be a misleading stand-in for business health. Some products move in high volume but on thin margins. Others cost disproportionately more to source or manufacture than the revenue they bring in justifies. And some products look successful on a sales report while quietly dragging down the company’s overall margin structure.</w:t>
      </w:r>
    </w:p>
    <w:p w14:paraId="589A1504" w14:textId="77777777" w:rsidR="00F35A35" w:rsidRDefault="00000000">
      <w:pPr>
        <w:spacing w:after="160"/>
      </w:pPr>
      <w:r>
        <w:t>Before this analysis, the organization had no clear view into which product lines actually deliver the highest gross margin, whether the biggest sellers are truly the most profitable, how profitability differs across the Chocolate, Sugar, and Other divisions, or which specific products carry margin risk. Without that visibility, pricing, promotion, and portfolio decisions have largely been made on intuition rather than data.</w:t>
      </w:r>
    </w:p>
    <w:p w14:paraId="2A25247A" w14:textId="6F35E02E" w:rsidR="00F35A35" w:rsidRDefault="00000000">
      <w:pPr>
        <w:pStyle w:val="Heading1"/>
      </w:pPr>
      <w:r>
        <w:t>3. Data &amp; Methodology</w:t>
      </w:r>
    </w:p>
    <w:p w14:paraId="6DF536FB" w14:textId="77777777" w:rsidR="00F35A35" w:rsidRDefault="00000000">
      <w:pPr>
        <w:pStyle w:val="Heading2"/>
      </w:pPr>
      <w:r>
        <w:t>3.1 Dataset</w:t>
      </w:r>
    </w:p>
    <w:p w14:paraId="734B3324" w14:textId="77777777" w:rsidR="00F35A35" w:rsidRDefault="00000000">
      <w:pPr>
        <w:spacing w:after="160"/>
      </w:pPr>
      <w:r>
        <w:t>The source dataset holds 10,194 order-line records across 18 fields — order and ship dates, customer geography (country, city, state/province, postal code), product division and region, product identifiers and names, and the financial fields Sales, Units, Gross Profit, and Cost. Nassau Candy also supplied a five-factory sourcing map with geographic coordinates and a product-to-factory correlation table, which we used to supplement the dataset.</w:t>
      </w:r>
    </w:p>
    <w:p w14:paraId="26F5E4F0" w14:textId="77777777" w:rsidR="00F35A35" w:rsidRDefault="00000000">
      <w:pPr>
        <w:pStyle w:val="Heading2"/>
      </w:pPr>
      <w:r>
        <w:t>3.2 Data Cleaning &amp; Validation</w:t>
      </w:r>
    </w:p>
    <w:p w14:paraId="425CA494" w14:textId="77777777" w:rsidR="00F35A35" w:rsidRDefault="00000000">
      <w:pPr>
        <w:pStyle w:val="ListParagraph"/>
        <w:numPr>
          <w:ilvl w:val="0"/>
          <w:numId w:val="1"/>
        </w:numPr>
        <w:spacing w:after="80"/>
      </w:pPr>
      <w:r>
        <w:t>Cleaned up text fields (Division, Region, Product Name, Ship Mode, geography): trimmed whitespace and fixed inconsistent spacing and punctuation in product names, e.g. “Wonka Bar -Scrumdiddlyumptious” became “Wonka Bar - Scrumdiddlyumptious.”</w:t>
      </w:r>
    </w:p>
    <w:p w14:paraId="77228FFD" w14:textId="77777777" w:rsidR="00F35A35" w:rsidRDefault="00000000">
      <w:pPr>
        <w:pStyle w:val="ListParagraph"/>
        <w:numPr>
          <w:ilvl w:val="0"/>
          <w:numId w:val="1"/>
        </w:numPr>
        <w:spacing w:after="80"/>
      </w:pPr>
      <w:r>
        <w:t>Dropped 14 rows that were exact duplicates across every field.</w:t>
      </w:r>
    </w:p>
    <w:p w14:paraId="03FACF08" w14:textId="77777777" w:rsidR="00F35A35" w:rsidRDefault="00000000">
      <w:pPr>
        <w:pStyle w:val="ListParagraph"/>
        <w:numPr>
          <w:ilvl w:val="0"/>
          <w:numId w:val="1"/>
        </w:numPr>
        <w:spacing w:after="80"/>
      </w:pPr>
      <w:r>
        <w:t>Rebuilt Row ID as a clean sequential key, since the original field wasn’t reliably unique — one value showed up 449 times.</w:t>
      </w:r>
    </w:p>
    <w:p w14:paraId="47E50B98" w14:textId="77777777" w:rsidR="00F35A35" w:rsidRDefault="00000000">
      <w:pPr>
        <w:pStyle w:val="ListParagraph"/>
        <w:numPr>
          <w:ilvl w:val="0"/>
          <w:numId w:val="1"/>
        </w:numPr>
        <w:spacing w:after="80"/>
      </w:pPr>
      <w:r>
        <w:lastRenderedPageBreak/>
        <w:t>Checked that Sales, Cost, Units, and Gross Profit were all numeric. After de-duplication, none of these fields contained non-numeric, zero, or negative values, so no additional rows needed to be dropped.</w:t>
      </w:r>
    </w:p>
    <w:p w14:paraId="38FAAE12" w14:textId="77777777" w:rsidR="00F35A35" w:rsidRDefault="00000000">
      <w:pPr>
        <w:pStyle w:val="ListParagraph"/>
        <w:numPr>
          <w:ilvl w:val="0"/>
          <w:numId w:val="1"/>
        </w:numPr>
        <w:spacing w:after="80"/>
      </w:pPr>
      <w:r>
        <w:t>Cross-checked Gross Profit against Sales minus Cost for every row. Everything reconciled within $0.02, which confirms the financial fields are internally consistent.</w:t>
      </w:r>
    </w:p>
    <w:p w14:paraId="03F4B8F1" w14:textId="77777777" w:rsidR="00F35A35" w:rsidRDefault="00000000">
      <w:pPr>
        <w:pStyle w:val="ListParagraph"/>
        <w:numPr>
          <w:ilvl w:val="0"/>
          <w:numId w:val="1"/>
        </w:numPr>
        <w:spacing w:after="80"/>
      </w:pPr>
      <w:r>
        <w:t>Parsed Order Date and Ship Date out of two mixed formats in the source file (“M/D/YYYY” and “DD-MM-YYYY”). Both were read as day-first, which matches the dash-formatted rows that are unambiguous because they contain day values above 12.</w:t>
      </w:r>
    </w:p>
    <w:p w14:paraId="5E67A534" w14:textId="77777777" w:rsidR="00F35A35" w:rsidRDefault="00000000">
      <w:pPr>
        <w:pStyle w:val="ListParagraph"/>
        <w:numPr>
          <w:ilvl w:val="0"/>
          <w:numId w:val="1"/>
        </w:numPr>
        <w:spacing w:after="80"/>
      </w:pPr>
      <w:r>
        <w:t>Matched every product to its sourcing factory and factory coordinates using the correlation table Nassau Candy provided.</w:t>
      </w:r>
    </w:p>
    <w:p w14:paraId="4939A9CF" w14:textId="77777777" w:rsidR="00F35A35" w:rsidRDefault="00000000">
      <w:pPr>
        <w:spacing w:after="160"/>
      </w:pPr>
      <w:r>
        <w:rPr>
          <w:i/>
          <w:iCs/>
          <w:sz w:val="20"/>
          <w:szCs w:val="20"/>
        </w:rPr>
        <w:t>Net effect: 10,180 of the original 10,194 rows (99.86%) made it into the analysis. One data-quality issue turned up that we deliberately left alone: recorded Ship Date values land 2.5 to 4.5 years after the matching Order Date, which isn’t operationally realistic and is almost certainly an artifact of how the data was generated. Since this project is about profitability and margin, not delivery timing, we kept Ship Date in the dataset for completeness but left it out of every KPI and chart in this report.</w:t>
      </w:r>
    </w:p>
    <w:p w14:paraId="443455F2" w14:textId="77777777" w:rsidR="00F35A35" w:rsidRDefault="00000000">
      <w:pPr>
        <w:pStyle w:val="Heading2"/>
      </w:pPr>
      <w:r>
        <w:t>3.3 Key Performance Indicators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F35A35" w14:paraId="20D74042" w14:textId="77777777">
        <w:tblPrEx>
          <w:tblCellMar>
            <w:top w:w="0" w:type="dxa"/>
            <w:bottom w:w="0" w:type="dxa"/>
          </w:tblCellMar>
        </w:tblPrEx>
        <w:trPr>
          <w:tblHeader/>
        </w:trPr>
        <w:tc>
          <w:tcPr>
            <w:tcW w:w="3200" w:type="dxa"/>
            <w:shd w:val="clear" w:color="auto" w:fill="5B3A29"/>
            <w:tcMar>
              <w:top w:w="60" w:type="dxa"/>
              <w:left w:w="100" w:type="dxa"/>
              <w:bottom w:w="60" w:type="dxa"/>
              <w:right w:w="100" w:type="dxa"/>
            </w:tcMar>
          </w:tcPr>
          <w:p w14:paraId="26D20666" w14:textId="77777777" w:rsidR="00F35A35" w:rsidRDefault="00000000">
            <w:r>
              <w:rPr>
                <w:b/>
                <w:bCs/>
                <w:color w:val="FFFFFF"/>
              </w:rPr>
              <w:t>KPI</w:t>
            </w:r>
          </w:p>
        </w:tc>
        <w:tc>
          <w:tcPr>
            <w:tcW w:w="6200" w:type="dxa"/>
            <w:shd w:val="clear" w:color="auto" w:fill="5B3A29"/>
            <w:tcMar>
              <w:top w:w="60" w:type="dxa"/>
              <w:left w:w="100" w:type="dxa"/>
              <w:bottom w:w="60" w:type="dxa"/>
              <w:right w:w="100" w:type="dxa"/>
            </w:tcMar>
          </w:tcPr>
          <w:p w14:paraId="624C3698" w14:textId="77777777" w:rsidR="00F35A35" w:rsidRDefault="00000000">
            <w:r>
              <w:rPr>
                <w:b/>
                <w:bCs/>
                <w:color w:val="FFFFFF"/>
              </w:rPr>
              <w:t>Definition</w:t>
            </w:r>
          </w:p>
        </w:tc>
      </w:tr>
      <w:tr w:rsidR="00F35A35" w14:paraId="05C73237" w14:textId="77777777">
        <w:tblPrEx>
          <w:tblCellMar>
            <w:top w:w="0" w:type="dxa"/>
            <w:bottom w:w="0" w:type="dxa"/>
          </w:tblCellMar>
        </w:tblPrEx>
        <w:tc>
          <w:tcPr>
            <w:tcW w:w="3200" w:type="dxa"/>
            <w:shd w:val="clear" w:color="auto" w:fill="F7F1E8"/>
            <w:tcMar>
              <w:top w:w="60" w:type="dxa"/>
              <w:left w:w="100" w:type="dxa"/>
              <w:bottom w:w="60" w:type="dxa"/>
              <w:right w:w="100" w:type="dxa"/>
            </w:tcMar>
          </w:tcPr>
          <w:p w14:paraId="7CC8F20C" w14:textId="77777777" w:rsidR="00F35A35" w:rsidRDefault="00000000">
            <w:r>
              <w:rPr>
                <w:color w:val="000000"/>
              </w:rPr>
              <w:t>Gross Margin (%)</w:t>
            </w:r>
          </w:p>
        </w:tc>
        <w:tc>
          <w:tcPr>
            <w:tcW w:w="6200" w:type="dxa"/>
            <w:shd w:val="clear" w:color="auto" w:fill="F7F1E8"/>
            <w:tcMar>
              <w:top w:w="60" w:type="dxa"/>
              <w:left w:w="100" w:type="dxa"/>
              <w:bottom w:w="60" w:type="dxa"/>
              <w:right w:w="100" w:type="dxa"/>
            </w:tcMar>
          </w:tcPr>
          <w:p w14:paraId="43FAC0E7" w14:textId="77777777" w:rsidR="00F35A35" w:rsidRDefault="00000000">
            <w:r>
              <w:rPr>
                <w:color w:val="000000"/>
              </w:rPr>
              <w:t>Gross Profit ÷ Sales</w:t>
            </w:r>
          </w:p>
        </w:tc>
      </w:tr>
      <w:tr w:rsidR="00F35A35" w14:paraId="2F77B363"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45DE28B8" w14:textId="77777777" w:rsidR="00F35A35" w:rsidRDefault="00000000">
            <w:r>
              <w:rPr>
                <w:color w:val="000000"/>
              </w:rPr>
              <w:t>Profit per Unit</w:t>
            </w:r>
          </w:p>
        </w:tc>
        <w:tc>
          <w:tcPr>
            <w:tcW w:w="6200" w:type="dxa"/>
            <w:shd w:val="clear" w:color="auto" w:fill="FFFFFF"/>
            <w:tcMar>
              <w:top w:w="60" w:type="dxa"/>
              <w:left w:w="100" w:type="dxa"/>
              <w:bottom w:w="60" w:type="dxa"/>
              <w:right w:w="100" w:type="dxa"/>
            </w:tcMar>
          </w:tcPr>
          <w:p w14:paraId="76CCF248" w14:textId="77777777" w:rsidR="00F35A35" w:rsidRDefault="00000000">
            <w:r>
              <w:rPr>
                <w:color w:val="000000"/>
              </w:rPr>
              <w:t>Gross Profit ÷ Units</w:t>
            </w:r>
          </w:p>
        </w:tc>
      </w:tr>
      <w:tr w:rsidR="00F35A35" w14:paraId="71EC628A" w14:textId="77777777">
        <w:tblPrEx>
          <w:tblCellMar>
            <w:top w:w="0" w:type="dxa"/>
            <w:bottom w:w="0" w:type="dxa"/>
          </w:tblCellMar>
        </w:tblPrEx>
        <w:tc>
          <w:tcPr>
            <w:tcW w:w="3200" w:type="dxa"/>
            <w:shd w:val="clear" w:color="auto" w:fill="F7F1E8"/>
            <w:tcMar>
              <w:top w:w="60" w:type="dxa"/>
              <w:left w:w="100" w:type="dxa"/>
              <w:bottom w:w="60" w:type="dxa"/>
              <w:right w:w="100" w:type="dxa"/>
            </w:tcMar>
          </w:tcPr>
          <w:p w14:paraId="1E29A0ED" w14:textId="77777777" w:rsidR="00F35A35" w:rsidRDefault="00000000">
            <w:r>
              <w:rPr>
                <w:color w:val="000000"/>
              </w:rPr>
              <w:t>Revenue Contribution</w:t>
            </w:r>
          </w:p>
        </w:tc>
        <w:tc>
          <w:tcPr>
            <w:tcW w:w="6200" w:type="dxa"/>
            <w:shd w:val="clear" w:color="auto" w:fill="F7F1E8"/>
            <w:tcMar>
              <w:top w:w="60" w:type="dxa"/>
              <w:left w:w="100" w:type="dxa"/>
              <w:bottom w:w="60" w:type="dxa"/>
              <w:right w:w="100" w:type="dxa"/>
            </w:tcMar>
          </w:tcPr>
          <w:p w14:paraId="3E0F7445" w14:textId="77777777" w:rsidR="00F35A35" w:rsidRDefault="00000000">
            <w:r>
              <w:rPr>
                <w:color w:val="000000"/>
              </w:rPr>
              <w:t>Product Sales ÷ Total Sales</w:t>
            </w:r>
          </w:p>
        </w:tc>
      </w:tr>
      <w:tr w:rsidR="00F35A35" w14:paraId="65992908"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148D426B" w14:textId="77777777" w:rsidR="00F35A35" w:rsidRDefault="00000000">
            <w:r>
              <w:rPr>
                <w:color w:val="000000"/>
              </w:rPr>
              <w:t>Profit Contribution</w:t>
            </w:r>
          </w:p>
        </w:tc>
        <w:tc>
          <w:tcPr>
            <w:tcW w:w="6200" w:type="dxa"/>
            <w:shd w:val="clear" w:color="auto" w:fill="FFFFFF"/>
            <w:tcMar>
              <w:top w:w="60" w:type="dxa"/>
              <w:left w:w="100" w:type="dxa"/>
              <w:bottom w:w="60" w:type="dxa"/>
              <w:right w:w="100" w:type="dxa"/>
            </w:tcMar>
          </w:tcPr>
          <w:p w14:paraId="0A39C722" w14:textId="77777777" w:rsidR="00F35A35" w:rsidRDefault="00000000">
            <w:r>
              <w:rPr>
                <w:color w:val="000000"/>
              </w:rPr>
              <w:t>Product Gross Profit ÷ Total Gross Profit</w:t>
            </w:r>
          </w:p>
        </w:tc>
      </w:tr>
      <w:tr w:rsidR="00F35A35" w14:paraId="4E2C6F03" w14:textId="77777777">
        <w:tblPrEx>
          <w:tblCellMar>
            <w:top w:w="0" w:type="dxa"/>
            <w:bottom w:w="0" w:type="dxa"/>
          </w:tblCellMar>
        </w:tblPrEx>
        <w:tc>
          <w:tcPr>
            <w:tcW w:w="3200" w:type="dxa"/>
            <w:shd w:val="clear" w:color="auto" w:fill="F7F1E8"/>
            <w:tcMar>
              <w:top w:w="60" w:type="dxa"/>
              <w:left w:w="100" w:type="dxa"/>
              <w:bottom w:w="60" w:type="dxa"/>
              <w:right w:w="100" w:type="dxa"/>
            </w:tcMar>
          </w:tcPr>
          <w:p w14:paraId="3FC81543" w14:textId="77777777" w:rsidR="00F35A35" w:rsidRDefault="00000000">
            <w:r>
              <w:rPr>
                <w:color w:val="000000"/>
              </w:rPr>
              <w:t>Margin Volatility</w:t>
            </w:r>
          </w:p>
        </w:tc>
        <w:tc>
          <w:tcPr>
            <w:tcW w:w="6200" w:type="dxa"/>
            <w:shd w:val="clear" w:color="auto" w:fill="F7F1E8"/>
            <w:tcMar>
              <w:top w:w="60" w:type="dxa"/>
              <w:left w:w="100" w:type="dxa"/>
              <w:bottom w:w="60" w:type="dxa"/>
              <w:right w:w="100" w:type="dxa"/>
            </w:tcMar>
          </w:tcPr>
          <w:p w14:paraId="79E480C1" w14:textId="77777777" w:rsidR="00F35A35" w:rsidRDefault="00000000">
            <w:r>
              <w:rPr>
                <w:color w:val="000000"/>
              </w:rPr>
              <w:t>Standard deviation of a product's monthly gross margin % over the analysis period</w:t>
            </w:r>
          </w:p>
        </w:tc>
      </w:tr>
      <w:tr w:rsidR="00F35A35" w14:paraId="096F5260"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19ABAC85" w14:textId="77777777" w:rsidR="00F35A35" w:rsidRDefault="00000000">
            <w:r>
              <w:rPr>
                <w:color w:val="000000"/>
              </w:rPr>
              <w:t>Cost-to-Sales Ratio</w:t>
            </w:r>
          </w:p>
        </w:tc>
        <w:tc>
          <w:tcPr>
            <w:tcW w:w="6200" w:type="dxa"/>
            <w:shd w:val="clear" w:color="auto" w:fill="FFFFFF"/>
            <w:tcMar>
              <w:top w:w="60" w:type="dxa"/>
              <w:left w:w="100" w:type="dxa"/>
              <w:bottom w:w="60" w:type="dxa"/>
              <w:right w:w="100" w:type="dxa"/>
            </w:tcMar>
          </w:tcPr>
          <w:p w14:paraId="6A062967" w14:textId="77777777" w:rsidR="00F35A35" w:rsidRDefault="00000000">
            <w:r>
              <w:rPr>
                <w:color w:val="000000"/>
              </w:rPr>
              <w:t>Cost ÷ Sales (used for cost-risk flagging)</w:t>
            </w:r>
          </w:p>
        </w:tc>
      </w:tr>
    </w:tbl>
    <w:p w14:paraId="0EB7ED51" w14:textId="1A59978E" w:rsidR="00F35A35" w:rsidRDefault="00000000">
      <w:pPr>
        <w:pStyle w:val="Heading1"/>
      </w:pPr>
      <w:r>
        <w:t>4. Product-Level Profitability Analysis</w:t>
      </w:r>
    </w:p>
    <w:p w14:paraId="4117F7FE" w14:textId="77777777" w:rsidR="00F35A35" w:rsidRDefault="00000000">
      <w:pPr>
        <w:spacing w:after="160"/>
      </w:pPr>
      <w:r>
        <w:t>We ranked products by total gross profit and by gross margin, then sorted them into four quadrants using median product-level Sales and median Gross Margin % as the split points: Stars (high sales, high margin), Volume Traps (high sales, low margin), Niche (low sales, high margin), and Laggards (low sales, low margin).</w:t>
      </w:r>
    </w:p>
    <w:p w14:paraId="4F91B49F" w14:textId="77777777" w:rsidR="00F35A35" w:rsidRDefault="00000000">
      <w:pPr>
        <w:spacing w:before="120" w:after="60"/>
        <w:jc w:val="center"/>
      </w:pPr>
      <w:r>
        <w:rPr>
          <w:noProof/>
        </w:rPr>
        <w:lastRenderedPageBreak/>
        <w:drawing>
          <wp:inline distT="0" distB="0" distL="0" distR="0" wp14:anchorId="2C5333BF" wp14:editId="6746F27D">
            <wp:extent cx="5334000" cy="355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556000"/>
                    </a:xfrm>
                    <a:prstGeom prst="rect">
                      <a:avLst/>
                    </a:prstGeom>
                  </pic:spPr>
                </pic:pic>
              </a:graphicData>
            </a:graphic>
          </wp:inline>
        </w:drawing>
      </w:r>
    </w:p>
    <w:p w14:paraId="23CB2070" w14:textId="77777777" w:rsidR="00F35A35" w:rsidRDefault="00000000">
      <w:pPr>
        <w:spacing w:after="240"/>
        <w:jc w:val="center"/>
      </w:pPr>
      <w:r>
        <w:rPr>
          <w:i/>
          <w:iCs/>
          <w:color w:val="6B5D52"/>
          <w:sz w:val="18"/>
          <w:szCs w:val="18"/>
        </w:rPr>
        <w:t>Figure 1. Gross margin by product, ranked lowest to highest. Dashed line marks the median product margin (60.0%).</w:t>
      </w:r>
    </w:p>
    <w:p w14:paraId="42A83903" w14:textId="77777777" w:rsidR="00F35A35" w:rsidRDefault="00000000">
      <w:pPr>
        <w:spacing w:before="120" w:after="60"/>
        <w:jc w:val="center"/>
      </w:pPr>
      <w:r>
        <w:rPr>
          <w:noProof/>
        </w:rPr>
        <w:drawing>
          <wp:inline distT="0" distB="0" distL="0" distR="0" wp14:anchorId="639016DC" wp14:editId="4BA2FDF8">
            <wp:extent cx="5334000" cy="3852333"/>
            <wp:effectExtent l="0" t="0" r="6350" b="0"/>
            <wp:docPr id="1634991765" name="Picture 1634991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852333"/>
                    </a:xfrm>
                    <a:prstGeom prst="rect">
                      <a:avLst/>
                    </a:prstGeom>
                  </pic:spPr>
                </pic:pic>
              </a:graphicData>
            </a:graphic>
          </wp:inline>
        </w:drawing>
      </w:r>
    </w:p>
    <w:p w14:paraId="4A9FF724" w14:textId="77777777" w:rsidR="00F35A35" w:rsidRDefault="00000000">
      <w:pPr>
        <w:spacing w:after="240"/>
        <w:jc w:val="center"/>
      </w:pPr>
      <w:r>
        <w:rPr>
          <w:i/>
          <w:iCs/>
          <w:color w:val="6B5D52"/>
          <w:sz w:val="18"/>
          <w:szCs w:val="18"/>
        </w:rPr>
        <w:t>Figure 2. Sales-vs-Margin quadrant map. Bubble size = total gross profit.</w:t>
      </w:r>
    </w:p>
    <w:p w14:paraId="75D8EBC1" w14:textId="77777777" w:rsidR="00F35A35" w:rsidRDefault="00000000">
      <w:pPr>
        <w:pStyle w:val="Heading2"/>
      </w:pPr>
      <w:r>
        <w:t>4.1 High-Profit / High-Margin Products (Stars)</w:t>
      </w:r>
    </w:p>
    <w:p w14:paraId="1DD9367D" w14:textId="77777777" w:rsidR="00F35A35" w:rsidRDefault="00000000">
      <w:pPr>
        <w:spacing w:after="160"/>
      </w:pPr>
      <w:r>
        <w:lastRenderedPageBreak/>
        <w:t>All five Chocolate-division Wonka Bar products land squarely in the Star quadrant. Each one contributes between 16.6% and 20.1% of total revenue and between 17.8% and 20.7% of total gross profit, at margins ranging from 64.9% to 71.3%:</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700"/>
        <w:gridCol w:w="1700"/>
        <w:gridCol w:w="1400"/>
        <w:gridCol w:w="2000"/>
      </w:tblGrid>
      <w:tr w:rsidR="00F35A35" w14:paraId="702FCB1F" w14:textId="77777777">
        <w:tblPrEx>
          <w:tblCellMar>
            <w:top w:w="0" w:type="dxa"/>
            <w:bottom w:w="0" w:type="dxa"/>
          </w:tblCellMar>
        </w:tblPrEx>
        <w:trPr>
          <w:tblHeader/>
        </w:trPr>
        <w:tc>
          <w:tcPr>
            <w:tcW w:w="3600" w:type="dxa"/>
            <w:shd w:val="clear" w:color="auto" w:fill="5B3A29"/>
            <w:tcMar>
              <w:top w:w="60" w:type="dxa"/>
              <w:left w:w="100" w:type="dxa"/>
              <w:bottom w:w="60" w:type="dxa"/>
              <w:right w:w="100" w:type="dxa"/>
            </w:tcMar>
          </w:tcPr>
          <w:p w14:paraId="310C1820" w14:textId="77777777" w:rsidR="00F35A35" w:rsidRDefault="00000000">
            <w:r>
              <w:rPr>
                <w:b/>
                <w:bCs/>
                <w:color w:val="FFFFFF"/>
              </w:rPr>
              <w:t>Product</w:t>
            </w:r>
          </w:p>
        </w:tc>
        <w:tc>
          <w:tcPr>
            <w:tcW w:w="1700" w:type="dxa"/>
            <w:shd w:val="clear" w:color="auto" w:fill="5B3A29"/>
            <w:tcMar>
              <w:top w:w="60" w:type="dxa"/>
              <w:left w:w="100" w:type="dxa"/>
              <w:bottom w:w="60" w:type="dxa"/>
              <w:right w:w="100" w:type="dxa"/>
            </w:tcMar>
          </w:tcPr>
          <w:p w14:paraId="38065EBD" w14:textId="77777777" w:rsidR="00F35A35" w:rsidRDefault="00000000">
            <w:r>
              <w:rPr>
                <w:b/>
                <w:bCs/>
                <w:color w:val="FFFFFF"/>
              </w:rPr>
              <w:t>Sales</w:t>
            </w:r>
          </w:p>
        </w:tc>
        <w:tc>
          <w:tcPr>
            <w:tcW w:w="1700" w:type="dxa"/>
            <w:shd w:val="clear" w:color="auto" w:fill="5B3A29"/>
            <w:tcMar>
              <w:top w:w="60" w:type="dxa"/>
              <w:left w:w="100" w:type="dxa"/>
              <w:bottom w:w="60" w:type="dxa"/>
              <w:right w:w="100" w:type="dxa"/>
            </w:tcMar>
          </w:tcPr>
          <w:p w14:paraId="676D4DB4" w14:textId="77777777" w:rsidR="00F35A35" w:rsidRDefault="00000000">
            <w:r>
              <w:rPr>
                <w:b/>
                <w:bCs/>
                <w:color w:val="FFFFFF"/>
              </w:rPr>
              <w:t>Gross Profit</w:t>
            </w:r>
          </w:p>
        </w:tc>
        <w:tc>
          <w:tcPr>
            <w:tcW w:w="1400" w:type="dxa"/>
            <w:shd w:val="clear" w:color="auto" w:fill="5B3A29"/>
            <w:tcMar>
              <w:top w:w="60" w:type="dxa"/>
              <w:left w:w="100" w:type="dxa"/>
              <w:bottom w:w="60" w:type="dxa"/>
              <w:right w:w="100" w:type="dxa"/>
            </w:tcMar>
          </w:tcPr>
          <w:p w14:paraId="674AD272" w14:textId="77777777" w:rsidR="00F35A35" w:rsidRDefault="00000000">
            <w:r>
              <w:rPr>
                <w:b/>
                <w:bCs/>
                <w:color w:val="FFFFFF"/>
              </w:rPr>
              <w:t>Margin %</w:t>
            </w:r>
          </w:p>
        </w:tc>
        <w:tc>
          <w:tcPr>
            <w:tcW w:w="2000" w:type="dxa"/>
            <w:shd w:val="clear" w:color="auto" w:fill="5B3A29"/>
            <w:tcMar>
              <w:top w:w="60" w:type="dxa"/>
              <w:left w:w="100" w:type="dxa"/>
              <w:bottom w:w="60" w:type="dxa"/>
              <w:right w:w="100" w:type="dxa"/>
            </w:tcMar>
          </w:tcPr>
          <w:p w14:paraId="3C785A5F" w14:textId="77777777" w:rsidR="00F35A35" w:rsidRDefault="00000000">
            <w:r>
              <w:rPr>
                <w:b/>
                <w:bCs/>
                <w:color w:val="FFFFFF"/>
              </w:rPr>
              <w:t>Profit Contribution %</w:t>
            </w:r>
          </w:p>
        </w:tc>
      </w:tr>
      <w:tr w:rsidR="00F35A35" w14:paraId="15F5A666" w14:textId="77777777">
        <w:tblPrEx>
          <w:tblCellMar>
            <w:top w:w="0" w:type="dxa"/>
            <w:bottom w:w="0" w:type="dxa"/>
          </w:tblCellMar>
        </w:tblPrEx>
        <w:tc>
          <w:tcPr>
            <w:tcW w:w="3600" w:type="dxa"/>
            <w:shd w:val="clear" w:color="auto" w:fill="F7F1E8"/>
            <w:tcMar>
              <w:top w:w="60" w:type="dxa"/>
              <w:left w:w="100" w:type="dxa"/>
              <w:bottom w:w="60" w:type="dxa"/>
              <w:right w:w="100" w:type="dxa"/>
            </w:tcMar>
          </w:tcPr>
          <w:p w14:paraId="74905194" w14:textId="77777777" w:rsidR="00F35A35" w:rsidRDefault="00000000">
            <w:r>
              <w:rPr>
                <w:color w:val="000000"/>
              </w:rPr>
              <w:t>Wonka Bar - Triple Dazzle Caramel</w:t>
            </w:r>
          </w:p>
        </w:tc>
        <w:tc>
          <w:tcPr>
            <w:tcW w:w="1700" w:type="dxa"/>
            <w:shd w:val="clear" w:color="auto" w:fill="F7F1E8"/>
            <w:tcMar>
              <w:top w:w="60" w:type="dxa"/>
              <w:left w:w="100" w:type="dxa"/>
              <w:bottom w:w="60" w:type="dxa"/>
              <w:right w:w="100" w:type="dxa"/>
            </w:tcMar>
          </w:tcPr>
          <w:p w14:paraId="5F969B91" w14:textId="77777777" w:rsidR="00F35A35" w:rsidRDefault="00000000">
            <w:r>
              <w:rPr>
                <w:color w:val="000000"/>
              </w:rPr>
              <w:t>$28,462.50</w:t>
            </w:r>
          </w:p>
        </w:tc>
        <w:tc>
          <w:tcPr>
            <w:tcW w:w="1700" w:type="dxa"/>
            <w:shd w:val="clear" w:color="auto" w:fill="F7F1E8"/>
            <w:tcMar>
              <w:top w:w="60" w:type="dxa"/>
              <w:left w:w="100" w:type="dxa"/>
              <w:bottom w:w="60" w:type="dxa"/>
              <w:right w:w="100" w:type="dxa"/>
            </w:tcMar>
          </w:tcPr>
          <w:p w14:paraId="2FDAECCF" w14:textId="77777777" w:rsidR="00F35A35" w:rsidRDefault="00000000">
            <w:r>
              <w:rPr>
                <w:color w:val="000000"/>
              </w:rPr>
              <w:t>$18,595.50</w:t>
            </w:r>
          </w:p>
        </w:tc>
        <w:tc>
          <w:tcPr>
            <w:tcW w:w="1400" w:type="dxa"/>
            <w:shd w:val="clear" w:color="auto" w:fill="F7F1E8"/>
            <w:tcMar>
              <w:top w:w="60" w:type="dxa"/>
              <w:left w:w="100" w:type="dxa"/>
              <w:bottom w:w="60" w:type="dxa"/>
              <w:right w:w="100" w:type="dxa"/>
            </w:tcMar>
          </w:tcPr>
          <w:p w14:paraId="7CBB8096" w14:textId="77777777" w:rsidR="00F35A35" w:rsidRDefault="00000000">
            <w:r>
              <w:rPr>
                <w:color w:val="000000"/>
              </w:rPr>
              <w:t>65.3%</w:t>
            </w:r>
          </w:p>
        </w:tc>
        <w:tc>
          <w:tcPr>
            <w:tcW w:w="2000" w:type="dxa"/>
            <w:shd w:val="clear" w:color="auto" w:fill="F7F1E8"/>
            <w:tcMar>
              <w:top w:w="60" w:type="dxa"/>
              <w:left w:w="100" w:type="dxa"/>
              <w:bottom w:w="60" w:type="dxa"/>
              <w:right w:w="100" w:type="dxa"/>
            </w:tcMar>
          </w:tcPr>
          <w:p w14:paraId="4040EDF5" w14:textId="77777777" w:rsidR="00F35A35" w:rsidRDefault="00000000">
            <w:r>
              <w:rPr>
                <w:color w:val="000000"/>
              </w:rPr>
              <w:t>19.9%</w:t>
            </w:r>
          </w:p>
        </w:tc>
      </w:tr>
      <w:tr w:rsidR="00F35A35" w14:paraId="2A4D973C"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0BFD5B18" w14:textId="77777777" w:rsidR="00F35A35" w:rsidRDefault="00000000">
            <w:r>
              <w:rPr>
                <w:color w:val="000000"/>
              </w:rPr>
              <w:t>Wonka Bar - Scrumdiddlyumptious</w:t>
            </w:r>
          </w:p>
        </w:tc>
        <w:tc>
          <w:tcPr>
            <w:tcW w:w="1700" w:type="dxa"/>
            <w:shd w:val="clear" w:color="auto" w:fill="FFFFFF"/>
            <w:tcMar>
              <w:top w:w="60" w:type="dxa"/>
              <w:left w:w="100" w:type="dxa"/>
              <w:bottom w:w="60" w:type="dxa"/>
              <w:right w:w="100" w:type="dxa"/>
            </w:tcMar>
          </w:tcPr>
          <w:p w14:paraId="119C5880" w14:textId="77777777" w:rsidR="00F35A35" w:rsidRDefault="00000000">
            <w:r>
              <w:rPr>
                <w:color w:val="000000"/>
              </w:rPr>
              <w:t>$27,853.20</w:t>
            </w:r>
          </w:p>
        </w:tc>
        <w:tc>
          <w:tcPr>
            <w:tcW w:w="1700" w:type="dxa"/>
            <w:shd w:val="clear" w:color="auto" w:fill="FFFFFF"/>
            <w:tcMar>
              <w:top w:w="60" w:type="dxa"/>
              <w:left w:w="100" w:type="dxa"/>
              <w:bottom w:w="60" w:type="dxa"/>
              <w:right w:w="100" w:type="dxa"/>
            </w:tcMar>
          </w:tcPr>
          <w:p w14:paraId="35FBE37E" w14:textId="77777777" w:rsidR="00F35A35" w:rsidRDefault="00000000">
            <w:r>
              <w:rPr>
                <w:color w:val="000000"/>
              </w:rPr>
              <w:t>$19,342.50</w:t>
            </w:r>
          </w:p>
        </w:tc>
        <w:tc>
          <w:tcPr>
            <w:tcW w:w="1400" w:type="dxa"/>
            <w:shd w:val="clear" w:color="auto" w:fill="FFFFFF"/>
            <w:tcMar>
              <w:top w:w="60" w:type="dxa"/>
              <w:left w:w="100" w:type="dxa"/>
              <w:bottom w:w="60" w:type="dxa"/>
              <w:right w:w="100" w:type="dxa"/>
            </w:tcMar>
          </w:tcPr>
          <w:p w14:paraId="1B532D12" w14:textId="77777777" w:rsidR="00F35A35" w:rsidRDefault="00000000">
            <w:r>
              <w:rPr>
                <w:color w:val="000000"/>
              </w:rPr>
              <w:t>69.4%</w:t>
            </w:r>
          </w:p>
        </w:tc>
        <w:tc>
          <w:tcPr>
            <w:tcW w:w="2000" w:type="dxa"/>
            <w:shd w:val="clear" w:color="auto" w:fill="FFFFFF"/>
            <w:tcMar>
              <w:top w:w="60" w:type="dxa"/>
              <w:left w:w="100" w:type="dxa"/>
              <w:bottom w:w="60" w:type="dxa"/>
              <w:right w:w="100" w:type="dxa"/>
            </w:tcMar>
          </w:tcPr>
          <w:p w14:paraId="60F4CC47" w14:textId="77777777" w:rsidR="00F35A35" w:rsidRDefault="00000000">
            <w:r>
              <w:rPr>
                <w:color w:val="000000"/>
              </w:rPr>
              <w:t>20.7%</w:t>
            </w:r>
          </w:p>
        </w:tc>
      </w:tr>
      <w:tr w:rsidR="00F35A35" w14:paraId="6418F453" w14:textId="77777777">
        <w:tblPrEx>
          <w:tblCellMar>
            <w:top w:w="0" w:type="dxa"/>
            <w:bottom w:w="0" w:type="dxa"/>
          </w:tblCellMar>
        </w:tblPrEx>
        <w:tc>
          <w:tcPr>
            <w:tcW w:w="3600" w:type="dxa"/>
            <w:shd w:val="clear" w:color="auto" w:fill="F7F1E8"/>
            <w:tcMar>
              <w:top w:w="60" w:type="dxa"/>
              <w:left w:w="100" w:type="dxa"/>
              <w:bottom w:w="60" w:type="dxa"/>
              <w:right w:w="100" w:type="dxa"/>
            </w:tcMar>
          </w:tcPr>
          <w:p w14:paraId="7DAFB1A9" w14:textId="77777777" w:rsidR="00F35A35" w:rsidRDefault="00000000">
            <w:r>
              <w:rPr>
                <w:color w:val="000000"/>
              </w:rPr>
              <w:t>Wonka Bar - Milk Chocolate</w:t>
            </w:r>
          </w:p>
        </w:tc>
        <w:tc>
          <w:tcPr>
            <w:tcW w:w="1700" w:type="dxa"/>
            <w:shd w:val="clear" w:color="auto" w:fill="F7F1E8"/>
            <w:tcMar>
              <w:top w:w="60" w:type="dxa"/>
              <w:left w:w="100" w:type="dxa"/>
              <w:bottom w:w="60" w:type="dxa"/>
              <w:right w:w="100" w:type="dxa"/>
            </w:tcMar>
          </w:tcPr>
          <w:p w14:paraId="583F8A91" w14:textId="77777777" w:rsidR="00F35A35" w:rsidRDefault="00000000">
            <w:r>
              <w:rPr>
                <w:color w:val="000000"/>
              </w:rPr>
              <w:t>$26,809.25</w:t>
            </w:r>
          </w:p>
        </w:tc>
        <w:tc>
          <w:tcPr>
            <w:tcW w:w="1700" w:type="dxa"/>
            <w:shd w:val="clear" w:color="auto" w:fill="F7F1E8"/>
            <w:tcMar>
              <w:top w:w="60" w:type="dxa"/>
              <w:left w:w="100" w:type="dxa"/>
              <w:bottom w:w="60" w:type="dxa"/>
              <w:right w:w="100" w:type="dxa"/>
            </w:tcMar>
          </w:tcPr>
          <w:p w14:paraId="18B3C55A" w14:textId="77777777" w:rsidR="00F35A35" w:rsidRDefault="00000000">
            <w:r>
              <w:rPr>
                <w:color w:val="000000"/>
              </w:rPr>
              <w:t>$17,405.39</w:t>
            </w:r>
          </w:p>
        </w:tc>
        <w:tc>
          <w:tcPr>
            <w:tcW w:w="1400" w:type="dxa"/>
            <w:shd w:val="clear" w:color="auto" w:fill="F7F1E8"/>
            <w:tcMar>
              <w:top w:w="60" w:type="dxa"/>
              <w:left w:w="100" w:type="dxa"/>
              <w:bottom w:w="60" w:type="dxa"/>
              <w:right w:w="100" w:type="dxa"/>
            </w:tcMar>
          </w:tcPr>
          <w:p w14:paraId="43A6DE05" w14:textId="77777777" w:rsidR="00F35A35" w:rsidRDefault="00000000">
            <w:r>
              <w:rPr>
                <w:color w:val="000000"/>
              </w:rPr>
              <w:t>64.9%</w:t>
            </w:r>
          </w:p>
        </w:tc>
        <w:tc>
          <w:tcPr>
            <w:tcW w:w="2000" w:type="dxa"/>
            <w:shd w:val="clear" w:color="auto" w:fill="F7F1E8"/>
            <w:tcMar>
              <w:top w:w="60" w:type="dxa"/>
              <w:left w:w="100" w:type="dxa"/>
              <w:bottom w:w="60" w:type="dxa"/>
              <w:right w:w="100" w:type="dxa"/>
            </w:tcMar>
          </w:tcPr>
          <w:p w14:paraId="73A034DD" w14:textId="77777777" w:rsidR="00F35A35" w:rsidRDefault="00000000">
            <w:r>
              <w:rPr>
                <w:color w:val="000000"/>
              </w:rPr>
              <w:t>18.7%</w:t>
            </w:r>
          </w:p>
        </w:tc>
      </w:tr>
      <w:tr w:rsidR="00F35A35" w14:paraId="5DB57F12"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2C61FFAD" w14:textId="77777777" w:rsidR="00F35A35" w:rsidRDefault="00000000">
            <w:r>
              <w:rPr>
                <w:color w:val="000000"/>
              </w:rPr>
              <w:t>Wonka Bar - Nutty Crunch Surprise</w:t>
            </w:r>
          </w:p>
        </w:tc>
        <w:tc>
          <w:tcPr>
            <w:tcW w:w="1700" w:type="dxa"/>
            <w:shd w:val="clear" w:color="auto" w:fill="FFFFFF"/>
            <w:tcMar>
              <w:top w:w="60" w:type="dxa"/>
              <w:left w:w="100" w:type="dxa"/>
              <w:bottom w:w="60" w:type="dxa"/>
              <w:right w:w="100" w:type="dxa"/>
            </w:tcMar>
          </w:tcPr>
          <w:p w14:paraId="469A5C6D" w14:textId="77777777" w:rsidR="00F35A35" w:rsidRDefault="00000000">
            <w:r>
              <w:rPr>
                <w:color w:val="000000"/>
              </w:rPr>
              <w:t>$23,557.50</w:t>
            </w:r>
          </w:p>
        </w:tc>
        <w:tc>
          <w:tcPr>
            <w:tcW w:w="1700" w:type="dxa"/>
            <w:shd w:val="clear" w:color="auto" w:fill="FFFFFF"/>
            <w:tcMar>
              <w:top w:w="60" w:type="dxa"/>
              <w:left w:w="100" w:type="dxa"/>
              <w:bottom w:w="60" w:type="dxa"/>
              <w:right w:w="100" w:type="dxa"/>
            </w:tcMar>
          </w:tcPr>
          <w:p w14:paraId="2AD88D80" w14:textId="77777777" w:rsidR="00F35A35" w:rsidRDefault="00000000">
            <w:r>
              <w:rPr>
                <w:color w:val="000000"/>
              </w:rPr>
              <w:t>$16,807.50</w:t>
            </w:r>
          </w:p>
        </w:tc>
        <w:tc>
          <w:tcPr>
            <w:tcW w:w="1400" w:type="dxa"/>
            <w:shd w:val="clear" w:color="auto" w:fill="FFFFFF"/>
            <w:tcMar>
              <w:top w:w="60" w:type="dxa"/>
              <w:left w:w="100" w:type="dxa"/>
              <w:bottom w:w="60" w:type="dxa"/>
              <w:right w:w="100" w:type="dxa"/>
            </w:tcMar>
          </w:tcPr>
          <w:p w14:paraId="50B9416A" w14:textId="77777777" w:rsidR="00F35A35" w:rsidRDefault="00000000">
            <w:r>
              <w:rPr>
                <w:color w:val="000000"/>
              </w:rPr>
              <w:t>71.3%</w:t>
            </w:r>
          </w:p>
        </w:tc>
        <w:tc>
          <w:tcPr>
            <w:tcW w:w="2000" w:type="dxa"/>
            <w:shd w:val="clear" w:color="auto" w:fill="FFFFFF"/>
            <w:tcMar>
              <w:top w:w="60" w:type="dxa"/>
              <w:left w:w="100" w:type="dxa"/>
              <w:bottom w:w="60" w:type="dxa"/>
              <w:right w:w="100" w:type="dxa"/>
            </w:tcMar>
          </w:tcPr>
          <w:p w14:paraId="6E0F5825" w14:textId="77777777" w:rsidR="00F35A35" w:rsidRDefault="00000000">
            <w:r>
              <w:rPr>
                <w:color w:val="000000"/>
              </w:rPr>
              <w:t>18.0%</w:t>
            </w:r>
          </w:p>
        </w:tc>
      </w:tr>
      <w:tr w:rsidR="00F35A35" w14:paraId="6B16AFBF" w14:textId="77777777">
        <w:tblPrEx>
          <w:tblCellMar>
            <w:top w:w="0" w:type="dxa"/>
            <w:bottom w:w="0" w:type="dxa"/>
          </w:tblCellMar>
        </w:tblPrEx>
        <w:tc>
          <w:tcPr>
            <w:tcW w:w="3600" w:type="dxa"/>
            <w:shd w:val="clear" w:color="auto" w:fill="F7F1E8"/>
            <w:tcMar>
              <w:top w:w="60" w:type="dxa"/>
              <w:left w:w="100" w:type="dxa"/>
              <w:bottom w:w="60" w:type="dxa"/>
              <w:right w:w="100" w:type="dxa"/>
            </w:tcMar>
          </w:tcPr>
          <w:p w14:paraId="16D8CAA8" w14:textId="77777777" w:rsidR="00F35A35" w:rsidRDefault="00000000">
            <w:r>
              <w:rPr>
                <w:color w:val="000000"/>
              </w:rPr>
              <w:t>Wonka Bar - Fudge Mallows</w:t>
            </w:r>
          </w:p>
        </w:tc>
        <w:tc>
          <w:tcPr>
            <w:tcW w:w="1700" w:type="dxa"/>
            <w:shd w:val="clear" w:color="auto" w:fill="F7F1E8"/>
            <w:tcMar>
              <w:top w:w="60" w:type="dxa"/>
              <w:left w:w="100" w:type="dxa"/>
              <w:bottom w:w="60" w:type="dxa"/>
              <w:right w:w="100" w:type="dxa"/>
            </w:tcMar>
          </w:tcPr>
          <w:p w14:paraId="15E33ED7" w14:textId="77777777" w:rsidR="00F35A35" w:rsidRDefault="00000000">
            <w:r>
              <w:rPr>
                <w:color w:val="000000"/>
              </w:rPr>
              <w:t>$24,872.40</w:t>
            </w:r>
          </w:p>
        </w:tc>
        <w:tc>
          <w:tcPr>
            <w:tcW w:w="1700" w:type="dxa"/>
            <w:shd w:val="clear" w:color="auto" w:fill="F7F1E8"/>
            <w:tcMar>
              <w:top w:w="60" w:type="dxa"/>
              <w:left w:w="100" w:type="dxa"/>
              <w:bottom w:w="60" w:type="dxa"/>
              <w:right w:w="100" w:type="dxa"/>
            </w:tcMar>
          </w:tcPr>
          <w:p w14:paraId="49EE6D3C" w14:textId="77777777" w:rsidR="00F35A35" w:rsidRDefault="00000000">
            <w:r>
              <w:rPr>
                <w:color w:val="000000"/>
              </w:rPr>
              <w:t>$16,581.60</w:t>
            </w:r>
          </w:p>
        </w:tc>
        <w:tc>
          <w:tcPr>
            <w:tcW w:w="1400" w:type="dxa"/>
            <w:shd w:val="clear" w:color="auto" w:fill="F7F1E8"/>
            <w:tcMar>
              <w:top w:w="60" w:type="dxa"/>
              <w:left w:w="100" w:type="dxa"/>
              <w:bottom w:w="60" w:type="dxa"/>
              <w:right w:w="100" w:type="dxa"/>
            </w:tcMar>
          </w:tcPr>
          <w:p w14:paraId="5AE17A4D" w14:textId="77777777" w:rsidR="00F35A35" w:rsidRDefault="00000000">
            <w:r>
              <w:rPr>
                <w:color w:val="000000"/>
              </w:rPr>
              <w:t>66.7%</w:t>
            </w:r>
          </w:p>
        </w:tc>
        <w:tc>
          <w:tcPr>
            <w:tcW w:w="2000" w:type="dxa"/>
            <w:shd w:val="clear" w:color="auto" w:fill="F7F1E8"/>
            <w:tcMar>
              <w:top w:w="60" w:type="dxa"/>
              <w:left w:w="100" w:type="dxa"/>
              <w:bottom w:w="60" w:type="dxa"/>
              <w:right w:w="100" w:type="dxa"/>
            </w:tcMar>
          </w:tcPr>
          <w:p w14:paraId="171DBE35" w14:textId="77777777" w:rsidR="00F35A35" w:rsidRDefault="00000000">
            <w:r>
              <w:rPr>
                <w:color w:val="000000"/>
              </w:rPr>
              <w:t>17.8%</w:t>
            </w:r>
          </w:p>
        </w:tc>
      </w:tr>
    </w:tbl>
    <w:p w14:paraId="606130F0" w14:textId="77777777" w:rsidR="00F35A35" w:rsidRDefault="00000000">
      <w:pPr>
        <w:spacing w:after="160"/>
      </w:pPr>
      <w:r>
        <w:t>Together, these five SKUs bring in 92.9% of revenue and 95.1% of gross profit. This is the core of the business, and it should be the clear priority for supply continuity, shelf placement, and marketing spend.</w:t>
      </w:r>
    </w:p>
    <w:p w14:paraId="0B9F5F73" w14:textId="77777777" w:rsidR="00F35A35" w:rsidRDefault="00000000">
      <w:pPr>
        <w:pStyle w:val="Heading2"/>
      </w:pPr>
      <w:r>
        <w:t>4.2 High-Sales / Low-Margin Products (Volume Traps)</w:t>
      </w:r>
    </w:p>
    <w:p w14:paraId="7C1D86B5" w14:textId="77777777" w:rsidR="00F35A35" w:rsidRDefault="00000000">
      <w:pPr>
        <w:spacing w:after="160"/>
      </w:pPr>
      <w:r>
        <w:t>Three products sell in meaningful volume but turn far less of that revenue into profit — and one of them is a serious outlier: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1600"/>
        <w:gridCol w:w="3400"/>
      </w:tblGrid>
      <w:tr w:rsidR="00F35A35" w14:paraId="460E20EB" w14:textId="77777777">
        <w:tblPrEx>
          <w:tblCellMar>
            <w:top w:w="0" w:type="dxa"/>
            <w:bottom w:w="0" w:type="dxa"/>
          </w:tblCellMar>
        </w:tblPrEx>
        <w:trPr>
          <w:tblHeader/>
        </w:trPr>
        <w:tc>
          <w:tcPr>
            <w:tcW w:w="2600" w:type="dxa"/>
            <w:shd w:val="clear" w:color="auto" w:fill="5B3A29"/>
            <w:tcMar>
              <w:top w:w="60" w:type="dxa"/>
              <w:left w:w="100" w:type="dxa"/>
              <w:bottom w:w="60" w:type="dxa"/>
              <w:right w:w="100" w:type="dxa"/>
            </w:tcMar>
          </w:tcPr>
          <w:p w14:paraId="13C5B5FB" w14:textId="77777777" w:rsidR="00F35A35" w:rsidRDefault="00000000">
            <w:r>
              <w:rPr>
                <w:b/>
                <w:bCs/>
                <w:color w:val="FFFFFF"/>
              </w:rPr>
              <w:t>Product</w:t>
            </w:r>
          </w:p>
        </w:tc>
        <w:tc>
          <w:tcPr>
            <w:tcW w:w="1800" w:type="dxa"/>
            <w:shd w:val="clear" w:color="auto" w:fill="5B3A29"/>
            <w:tcMar>
              <w:top w:w="60" w:type="dxa"/>
              <w:left w:w="100" w:type="dxa"/>
              <w:bottom w:w="60" w:type="dxa"/>
              <w:right w:w="100" w:type="dxa"/>
            </w:tcMar>
          </w:tcPr>
          <w:p w14:paraId="22E32B23" w14:textId="77777777" w:rsidR="00F35A35" w:rsidRDefault="00000000">
            <w:r>
              <w:rPr>
                <w:b/>
                <w:bCs/>
                <w:color w:val="FFFFFF"/>
              </w:rPr>
              <w:t>Sales</w:t>
            </w:r>
          </w:p>
        </w:tc>
        <w:tc>
          <w:tcPr>
            <w:tcW w:w="1600" w:type="dxa"/>
            <w:shd w:val="clear" w:color="auto" w:fill="5B3A29"/>
            <w:tcMar>
              <w:top w:w="60" w:type="dxa"/>
              <w:left w:w="100" w:type="dxa"/>
              <w:bottom w:w="60" w:type="dxa"/>
              <w:right w:w="100" w:type="dxa"/>
            </w:tcMar>
          </w:tcPr>
          <w:p w14:paraId="7FFAA618" w14:textId="77777777" w:rsidR="00F35A35" w:rsidRDefault="00000000">
            <w:r>
              <w:rPr>
                <w:b/>
                <w:bCs/>
                <w:color w:val="FFFFFF"/>
              </w:rPr>
              <w:t>Margin %</w:t>
            </w:r>
          </w:p>
        </w:tc>
        <w:tc>
          <w:tcPr>
            <w:tcW w:w="3400" w:type="dxa"/>
            <w:shd w:val="clear" w:color="auto" w:fill="5B3A29"/>
            <w:tcMar>
              <w:top w:w="60" w:type="dxa"/>
              <w:left w:w="100" w:type="dxa"/>
              <w:bottom w:w="60" w:type="dxa"/>
              <w:right w:w="100" w:type="dxa"/>
            </w:tcMar>
          </w:tcPr>
          <w:p w14:paraId="4DC2D264" w14:textId="77777777" w:rsidR="00F35A35" w:rsidRDefault="00000000">
            <w:r>
              <w:rPr>
                <w:b/>
                <w:bCs/>
                <w:color w:val="FFFFFF"/>
              </w:rPr>
              <w:t>Note</w:t>
            </w:r>
          </w:p>
        </w:tc>
      </w:tr>
      <w:tr w:rsidR="00F35A35" w14:paraId="3447EDE1" w14:textId="77777777">
        <w:tblPrEx>
          <w:tblCellMar>
            <w:top w:w="0" w:type="dxa"/>
            <w:bottom w:w="0" w:type="dxa"/>
          </w:tblCellMar>
        </w:tblPrEx>
        <w:tc>
          <w:tcPr>
            <w:tcW w:w="2600" w:type="dxa"/>
            <w:shd w:val="clear" w:color="auto" w:fill="F7F1E8"/>
            <w:tcMar>
              <w:top w:w="60" w:type="dxa"/>
              <w:left w:w="100" w:type="dxa"/>
              <w:bottom w:w="60" w:type="dxa"/>
              <w:right w:w="100" w:type="dxa"/>
            </w:tcMar>
          </w:tcPr>
          <w:p w14:paraId="2711A200" w14:textId="77777777" w:rsidR="00F35A35" w:rsidRDefault="00000000">
            <w:r>
              <w:rPr>
                <w:color w:val="000000"/>
              </w:rPr>
              <w:t>Lickable Wallpaper</w:t>
            </w:r>
          </w:p>
        </w:tc>
        <w:tc>
          <w:tcPr>
            <w:tcW w:w="1800" w:type="dxa"/>
            <w:shd w:val="clear" w:color="auto" w:fill="F7F1E8"/>
            <w:tcMar>
              <w:top w:w="60" w:type="dxa"/>
              <w:left w:w="100" w:type="dxa"/>
              <w:bottom w:w="60" w:type="dxa"/>
              <w:right w:w="100" w:type="dxa"/>
            </w:tcMar>
          </w:tcPr>
          <w:p w14:paraId="6A80B08A" w14:textId="77777777" w:rsidR="00F35A35" w:rsidRDefault="00000000">
            <w:r>
              <w:rPr>
                <w:color w:val="000000"/>
              </w:rPr>
              <w:t>$7,860.00</w:t>
            </w:r>
          </w:p>
        </w:tc>
        <w:tc>
          <w:tcPr>
            <w:tcW w:w="1600" w:type="dxa"/>
            <w:shd w:val="clear" w:color="auto" w:fill="F7F1E8"/>
            <w:tcMar>
              <w:top w:w="60" w:type="dxa"/>
              <w:left w:w="100" w:type="dxa"/>
              <w:bottom w:w="60" w:type="dxa"/>
              <w:right w:w="100" w:type="dxa"/>
            </w:tcMar>
          </w:tcPr>
          <w:p w14:paraId="66019677" w14:textId="77777777" w:rsidR="00F35A35" w:rsidRDefault="00000000">
            <w:r>
              <w:rPr>
                <w:color w:val="000000"/>
              </w:rPr>
              <w:t>50.0%</w:t>
            </w:r>
          </w:p>
        </w:tc>
        <w:tc>
          <w:tcPr>
            <w:tcW w:w="3400" w:type="dxa"/>
            <w:shd w:val="clear" w:color="auto" w:fill="F7F1E8"/>
            <w:tcMar>
              <w:top w:w="60" w:type="dxa"/>
              <w:left w:w="100" w:type="dxa"/>
              <w:bottom w:w="60" w:type="dxa"/>
              <w:right w:w="100" w:type="dxa"/>
            </w:tcMar>
          </w:tcPr>
          <w:p w14:paraId="65F6487E" w14:textId="77777777" w:rsidR="00F35A35" w:rsidRDefault="00000000">
            <w:r>
              <w:rPr>
                <w:color w:val="000000"/>
              </w:rPr>
              <w:t>Second-tier margin. Because its revenue base is fairly large, that 19-point margin gap versus the Chocolate line adds up to real money.</w:t>
            </w:r>
          </w:p>
        </w:tc>
      </w:tr>
      <w:tr w:rsidR="00F35A35" w14:paraId="5F80C788"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467D9DFD" w14:textId="77777777" w:rsidR="00F35A35" w:rsidRDefault="00000000">
            <w:r>
              <w:rPr>
                <w:color w:val="000000"/>
              </w:rPr>
              <w:t>Wonka Gum</w:t>
            </w:r>
          </w:p>
        </w:tc>
        <w:tc>
          <w:tcPr>
            <w:tcW w:w="1800" w:type="dxa"/>
            <w:shd w:val="clear" w:color="auto" w:fill="FFFFFF"/>
            <w:tcMar>
              <w:top w:w="60" w:type="dxa"/>
              <w:left w:w="100" w:type="dxa"/>
              <w:bottom w:w="60" w:type="dxa"/>
              <w:right w:w="100" w:type="dxa"/>
            </w:tcMar>
          </w:tcPr>
          <w:p w14:paraId="5C22D72A" w14:textId="77777777" w:rsidR="00F35A35" w:rsidRDefault="00000000">
            <w:r>
              <w:rPr>
                <w:color w:val="000000"/>
              </w:rPr>
              <w:t>$597.50</w:t>
            </w:r>
          </w:p>
        </w:tc>
        <w:tc>
          <w:tcPr>
            <w:tcW w:w="1600" w:type="dxa"/>
            <w:shd w:val="clear" w:color="auto" w:fill="FFFFFF"/>
            <w:tcMar>
              <w:top w:w="60" w:type="dxa"/>
              <w:left w:w="100" w:type="dxa"/>
              <w:bottom w:w="60" w:type="dxa"/>
              <w:right w:w="100" w:type="dxa"/>
            </w:tcMar>
          </w:tcPr>
          <w:p w14:paraId="3FA54172" w14:textId="77777777" w:rsidR="00F35A35" w:rsidRDefault="00000000">
            <w:r>
              <w:rPr>
                <w:color w:val="000000"/>
              </w:rPr>
              <w:t>52.0%</w:t>
            </w:r>
          </w:p>
        </w:tc>
        <w:tc>
          <w:tcPr>
            <w:tcW w:w="3400" w:type="dxa"/>
            <w:shd w:val="clear" w:color="auto" w:fill="FFFFFF"/>
            <w:tcMar>
              <w:top w:w="60" w:type="dxa"/>
              <w:left w:w="100" w:type="dxa"/>
              <w:bottom w:w="60" w:type="dxa"/>
              <w:right w:w="100" w:type="dxa"/>
            </w:tcMar>
          </w:tcPr>
          <w:p w14:paraId="41CC8E6D" w14:textId="77777777" w:rsidR="00F35A35" w:rsidRDefault="00000000">
            <w:r>
              <w:rPr>
                <w:color w:val="000000"/>
              </w:rPr>
              <w:t>Revenue is modest, but its margin profile looks a lot like Lickable Wallpaper’s.</w:t>
            </w:r>
          </w:p>
        </w:tc>
      </w:tr>
      <w:tr w:rsidR="00F35A35" w14:paraId="65E04F12" w14:textId="77777777">
        <w:tblPrEx>
          <w:tblCellMar>
            <w:top w:w="0" w:type="dxa"/>
            <w:bottom w:w="0" w:type="dxa"/>
          </w:tblCellMar>
        </w:tblPrEx>
        <w:tc>
          <w:tcPr>
            <w:tcW w:w="2600" w:type="dxa"/>
            <w:shd w:val="clear" w:color="auto" w:fill="F7F1E8"/>
            <w:tcMar>
              <w:top w:w="60" w:type="dxa"/>
              <w:left w:w="100" w:type="dxa"/>
              <w:bottom w:w="60" w:type="dxa"/>
              <w:right w:w="100" w:type="dxa"/>
            </w:tcMar>
          </w:tcPr>
          <w:p w14:paraId="6A73A7BC" w14:textId="77777777" w:rsidR="00F35A35" w:rsidRDefault="00000000">
            <w:r>
              <w:rPr>
                <w:color w:val="000000"/>
              </w:rPr>
              <w:t>Kazookles</w:t>
            </w:r>
          </w:p>
        </w:tc>
        <w:tc>
          <w:tcPr>
            <w:tcW w:w="1800" w:type="dxa"/>
            <w:shd w:val="clear" w:color="auto" w:fill="F7F1E8"/>
            <w:tcMar>
              <w:top w:w="60" w:type="dxa"/>
              <w:left w:w="100" w:type="dxa"/>
              <w:bottom w:w="60" w:type="dxa"/>
              <w:right w:w="100" w:type="dxa"/>
            </w:tcMar>
          </w:tcPr>
          <w:p w14:paraId="71F6D6BF" w14:textId="77777777" w:rsidR="00F35A35" w:rsidRDefault="00000000">
            <w:r>
              <w:rPr>
                <w:color w:val="000000"/>
              </w:rPr>
              <w:t>$1,205.75</w:t>
            </w:r>
          </w:p>
        </w:tc>
        <w:tc>
          <w:tcPr>
            <w:tcW w:w="1600" w:type="dxa"/>
            <w:shd w:val="clear" w:color="auto" w:fill="F7F1E8"/>
            <w:tcMar>
              <w:top w:w="60" w:type="dxa"/>
              <w:left w:w="100" w:type="dxa"/>
              <w:bottom w:w="60" w:type="dxa"/>
              <w:right w:w="100" w:type="dxa"/>
            </w:tcMar>
          </w:tcPr>
          <w:p w14:paraId="25995C78" w14:textId="77777777" w:rsidR="00F35A35" w:rsidRDefault="00000000">
            <w:r>
              <w:rPr>
                <w:color w:val="000000"/>
              </w:rPr>
              <w:t>7.7%</w:t>
            </w:r>
          </w:p>
        </w:tc>
        <w:tc>
          <w:tcPr>
            <w:tcW w:w="3400" w:type="dxa"/>
            <w:shd w:val="clear" w:color="auto" w:fill="F7F1E8"/>
            <w:tcMar>
              <w:top w:w="60" w:type="dxa"/>
              <w:left w:w="100" w:type="dxa"/>
              <w:bottom w:w="60" w:type="dxa"/>
              <w:right w:w="100" w:type="dxa"/>
            </w:tcMar>
          </w:tcPr>
          <w:p w14:paraId="077D1D79" w14:textId="77777777" w:rsidR="00F35A35" w:rsidRDefault="00000000">
            <w:r>
              <w:rPr>
                <w:color w:val="000000"/>
              </w:rPr>
              <w:t>A serious outlier: a 92.3% cost-to-sales ratio leaves almost nothing per unit sold.</w:t>
            </w:r>
          </w:p>
        </w:tc>
      </w:tr>
    </w:tbl>
    <w:p w14:paraId="69465481" w14:textId="77777777" w:rsidR="00F35A35" w:rsidRDefault="00000000">
      <w:pPr>
        <w:spacing w:after="160"/>
      </w:pPr>
      <w:r>
        <w:t>Kazookles is the clearest margin risk anywhere in the portfolio. It sells at real volume but returns essentially no profit, so from a profitability standpoint, nearly every unit sold is close to a break-even transaction — or worse.</w:t>
      </w:r>
    </w:p>
    <w:p w14:paraId="4A24D971" w14:textId="77777777" w:rsidR="00F35A35" w:rsidRDefault="00000000">
      <w:pPr>
        <w:pStyle w:val="Heading2"/>
      </w:pPr>
      <w:r>
        <w:t>4.3 Low-Sales / High-Margin Products (Niche)</w:t>
      </w:r>
    </w:p>
    <w:p w14:paraId="02B69234" w14:textId="77777777" w:rsidR="00F35A35" w:rsidRDefault="00000000">
      <w:pPr>
        <w:spacing w:after="160"/>
      </w:pPr>
      <w:r>
        <w:t>Everlasting Gobstopper (80.0% margin), Hair Toffee (77.8%), and Laffy Taffy (62.3%) post the best unit economics in the whole catalog, but at negligible volume — under $130 each in total sales over two years. They don’t move the needle on company profit today, but they do show the kind of pricing power that could inform repricing decisions on the Volume Trap products.</w:t>
      </w:r>
    </w:p>
    <w:p w14:paraId="311399AD" w14:textId="77777777" w:rsidR="00F35A35" w:rsidRDefault="00000000">
      <w:pPr>
        <w:pStyle w:val="Heading2"/>
      </w:pPr>
      <w:r>
        <w:t>4.4 Low-Sales / Low-Margin Products (Laggards)</w:t>
      </w:r>
    </w:p>
    <w:p w14:paraId="57FB51F2" w14:textId="77777777" w:rsidR="00F35A35" w:rsidRDefault="00000000">
      <w:pPr>
        <w:spacing w:after="160"/>
      </w:pPr>
      <w:r>
        <w:t>Fizzy Lifting Drinks, SweeTARTS, Nerds, and Fun Dip each generated under $80 in total sales over two years, with margins between 40% and 62%. Combined, they account for under 0.1% of company profit. These four are prime candidates for rationalization — it’s hard to justify the SKU-maintenance, shelf-space, and sourcing overhead of carrying four separate low-volume items given how little they contribute financially.</w:t>
      </w:r>
    </w:p>
    <w:p w14:paraId="5F83A86C" w14:textId="77777777" w:rsidR="00F35A35" w:rsidRDefault="00000000">
      <w:pPr>
        <w:pStyle w:val="Heading1"/>
      </w:pPr>
      <w:r>
        <w:lastRenderedPageBreak/>
        <w:t>5. Division-Level Performance Analysis</w:t>
      </w:r>
    </w:p>
    <w:p w14:paraId="58E12C92" w14:textId="77777777" w:rsidR="00F35A35" w:rsidRDefault="00000000">
      <w:pPr>
        <w:spacing w:before="120" w:after="60"/>
        <w:jc w:val="center"/>
      </w:pPr>
      <w:r>
        <w:rPr>
          <w:noProof/>
        </w:rPr>
        <w:drawing>
          <wp:inline distT="0" distB="0" distL="0" distR="0" wp14:anchorId="3FCF4B05" wp14:editId="0E7DCA59">
            <wp:extent cx="5334000" cy="3667125"/>
            <wp:effectExtent l="0" t="0" r="0" b="0"/>
            <wp:docPr id="244616876" name="Picture 2446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667125"/>
                    </a:xfrm>
                    <a:prstGeom prst="rect">
                      <a:avLst/>
                    </a:prstGeom>
                  </pic:spPr>
                </pic:pic>
              </a:graphicData>
            </a:graphic>
          </wp:inline>
        </w:drawing>
      </w:r>
    </w:p>
    <w:p w14:paraId="5177C81C" w14:textId="77777777" w:rsidR="00F35A35" w:rsidRDefault="00000000">
      <w:pPr>
        <w:spacing w:after="240"/>
        <w:jc w:val="center"/>
      </w:pPr>
      <w:r>
        <w:rPr>
          <w:i/>
          <w:iCs/>
          <w:color w:val="6B5D52"/>
          <w:sz w:val="18"/>
          <w:szCs w:val="18"/>
        </w:rPr>
        <w:t>Figure 3. Revenue share vs. profit share by division.</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1800"/>
        <w:gridCol w:w="1200"/>
        <w:gridCol w:w="1600"/>
        <w:gridCol w:w="1600"/>
        <w:gridCol w:w="1600"/>
      </w:tblGrid>
      <w:tr w:rsidR="00F35A35" w14:paraId="2BB85856" w14:textId="77777777">
        <w:tblPrEx>
          <w:tblCellMar>
            <w:top w:w="0" w:type="dxa"/>
            <w:bottom w:w="0" w:type="dxa"/>
          </w:tblCellMar>
        </w:tblPrEx>
        <w:trPr>
          <w:tblHeader/>
        </w:trPr>
        <w:tc>
          <w:tcPr>
            <w:tcW w:w="1600" w:type="dxa"/>
            <w:shd w:val="clear" w:color="auto" w:fill="5B3A29"/>
            <w:tcMar>
              <w:top w:w="60" w:type="dxa"/>
              <w:left w:w="100" w:type="dxa"/>
              <w:bottom w:w="60" w:type="dxa"/>
              <w:right w:w="100" w:type="dxa"/>
            </w:tcMar>
          </w:tcPr>
          <w:p w14:paraId="7B44C9A9" w14:textId="77777777" w:rsidR="00F35A35" w:rsidRDefault="00000000">
            <w:r>
              <w:rPr>
                <w:b/>
                <w:bCs/>
                <w:color w:val="FFFFFF"/>
              </w:rPr>
              <w:t>Division</w:t>
            </w:r>
          </w:p>
        </w:tc>
        <w:tc>
          <w:tcPr>
            <w:tcW w:w="1800" w:type="dxa"/>
            <w:shd w:val="clear" w:color="auto" w:fill="5B3A29"/>
            <w:tcMar>
              <w:top w:w="60" w:type="dxa"/>
              <w:left w:w="100" w:type="dxa"/>
              <w:bottom w:w="60" w:type="dxa"/>
              <w:right w:w="100" w:type="dxa"/>
            </w:tcMar>
          </w:tcPr>
          <w:p w14:paraId="18F96364" w14:textId="77777777" w:rsidR="00F35A35" w:rsidRDefault="00000000">
            <w:r>
              <w:rPr>
                <w:b/>
                <w:bCs/>
                <w:color w:val="FFFFFF"/>
              </w:rPr>
              <w:t>Sales</w:t>
            </w:r>
          </w:p>
        </w:tc>
        <w:tc>
          <w:tcPr>
            <w:tcW w:w="1800" w:type="dxa"/>
            <w:shd w:val="clear" w:color="auto" w:fill="5B3A29"/>
            <w:tcMar>
              <w:top w:w="60" w:type="dxa"/>
              <w:left w:w="100" w:type="dxa"/>
              <w:bottom w:w="60" w:type="dxa"/>
              <w:right w:w="100" w:type="dxa"/>
            </w:tcMar>
          </w:tcPr>
          <w:p w14:paraId="3266A4B5" w14:textId="77777777" w:rsidR="00F35A35" w:rsidRDefault="00000000">
            <w:r>
              <w:rPr>
                <w:b/>
                <w:bCs/>
                <w:color w:val="FFFFFF"/>
              </w:rPr>
              <w:t>Gross Profit</w:t>
            </w:r>
          </w:p>
        </w:tc>
        <w:tc>
          <w:tcPr>
            <w:tcW w:w="1200" w:type="dxa"/>
            <w:shd w:val="clear" w:color="auto" w:fill="5B3A29"/>
            <w:tcMar>
              <w:top w:w="60" w:type="dxa"/>
              <w:left w:w="100" w:type="dxa"/>
              <w:bottom w:w="60" w:type="dxa"/>
              <w:right w:w="100" w:type="dxa"/>
            </w:tcMar>
          </w:tcPr>
          <w:p w14:paraId="26C98221" w14:textId="77777777" w:rsidR="00F35A35" w:rsidRDefault="00000000">
            <w:r>
              <w:rPr>
                <w:b/>
                <w:bCs/>
                <w:color w:val="FFFFFF"/>
              </w:rPr>
              <w:t>Margin %</w:t>
            </w:r>
          </w:p>
        </w:tc>
        <w:tc>
          <w:tcPr>
            <w:tcW w:w="1600" w:type="dxa"/>
            <w:shd w:val="clear" w:color="auto" w:fill="5B3A29"/>
            <w:tcMar>
              <w:top w:w="60" w:type="dxa"/>
              <w:left w:w="100" w:type="dxa"/>
              <w:bottom w:w="60" w:type="dxa"/>
              <w:right w:w="100" w:type="dxa"/>
            </w:tcMar>
          </w:tcPr>
          <w:p w14:paraId="1B9205AE" w14:textId="77777777" w:rsidR="00F35A35" w:rsidRDefault="00000000">
            <w:r>
              <w:rPr>
                <w:b/>
                <w:bCs/>
                <w:color w:val="FFFFFF"/>
              </w:rPr>
              <w:t>Revenue Share</w:t>
            </w:r>
          </w:p>
        </w:tc>
        <w:tc>
          <w:tcPr>
            <w:tcW w:w="1600" w:type="dxa"/>
            <w:shd w:val="clear" w:color="auto" w:fill="5B3A29"/>
            <w:tcMar>
              <w:top w:w="60" w:type="dxa"/>
              <w:left w:w="100" w:type="dxa"/>
              <w:bottom w:w="60" w:type="dxa"/>
              <w:right w:w="100" w:type="dxa"/>
            </w:tcMar>
          </w:tcPr>
          <w:p w14:paraId="4BF0A7F2" w14:textId="77777777" w:rsidR="00F35A35" w:rsidRDefault="00000000">
            <w:r>
              <w:rPr>
                <w:b/>
                <w:bCs/>
                <w:color w:val="FFFFFF"/>
              </w:rPr>
              <w:t>Profit Share</w:t>
            </w:r>
          </w:p>
        </w:tc>
        <w:tc>
          <w:tcPr>
            <w:tcW w:w="1600" w:type="dxa"/>
            <w:shd w:val="clear" w:color="auto" w:fill="5B3A29"/>
            <w:tcMar>
              <w:top w:w="60" w:type="dxa"/>
              <w:left w:w="100" w:type="dxa"/>
              <w:bottom w:w="60" w:type="dxa"/>
              <w:right w:w="100" w:type="dxa"/>
            </w:tcMar>
          </w:tcPr>
          <w:p w14:paraId="6A67D08B" w14:textId="77777777" w:rsidR="00F35A35" w:rsidRDefault="00000000">
            <w:r>
              <w:rPr>
                <w:b/>
                <w:bCs/>
                <w:color w:val="FFFFFF"/>
              </w:rPr>
              <w:t>Imbalance (pp)</w:t>
            </w:r>
          </w:p>
        </w:tc>
      </w:tr>
      <w:tr w:rsidR="00F35A35" w14:paraId="3BC7E0A9" w14:textId="77777777">
        <w:tblPrEx>
          <w:tblCellMar>
            <w:top w:w="0" w:type="dxa"/>
            <w:bottom w:w="0" w:type="dxa"/>
          </w:tblCellMar>
        </w:tblPrEx>
        <w:tc>
          <w:tcPr>
            <w:tcW w:w="1600" w:type="dxa"/>
            <w:shd w:val="clear" w:color="auto" w:fill="F7F1E8"/>
            <w:tcMar>
              <w:top w:w="60" w:type="dxa"/>
              <w:left w:w="100" w:type="dxa"/>
              <w:bottom w:w="60" w:type="dxa"/>
              <w:right w:w="100" w:type="dxa"/>
            </w:tcMar>
          </w:tcPr>
          <w:p w14:paraId="5A21AE09" w14:textId="77777777" w:rsidR="00F35A35" w:rsidRDefault="00000000">
            <w:r>
              <w:rPr>
                <w:color w:val="000000"/>
              </w:rPr>
              <w:t>Chocolate</w:t>
            </w:r>
          </w:p>
        </w:tc>
        <w:tc>
          <w:tcPr>
            <w:tcW w:w="1800" w:type="dxa"/>
            <w:shd w:val="clear" w:color="auto" w:fill="F7F1E8"/>
            <w:tcMar>
              <w:top w:w="60" w:type="dxa"/>
              <w:left w:w="100" w:type="dxa"/>
              <w:bottom w:w="60" w:type="dxa"/>
              <w:right w:w="100" w:type="dxa"/>
            </w:tcMar>
          </w:tcPr>
          <w:p w14:paraId="591E8475" w14:textId="77777777" w:rsidR="00F35A35" w:rsidRDefault="00000000">
            <w:r>
              <w:rPr>
                <w:color w:val="000000"/>
              </w:rPr>
              <w:t>$131,554.85</w:t>
            </w:r>
          </w:p>
        </w:tc>
        <w:tc>
          <w:tcPr>
            <w:tcW w:w="1800" w:type="dxa"/>
            <w:shd w:val="clear" w:color="auto" w:fill="F7F1E8"/>
            <w:tcMar>
              <w:top w:w="60" w:type="dxa"/>
              <w:left w:w="100" w:type="dxa"/>
              <w:bottom w:w="60" w:type="dxa"/>
              <w:right w:w="100" w:type="dxa"/>
            </w:tcMar>
          </w:tcPr>
          <w:p w14:paraId="02CC59A5" w14:textId="77777777" w:rsidR="00F35A35" w:rsidRDefault="00000000">
            <w:r>
              <w:rPr>
                <w:color w:val="000000"/>
              </w:rPr>
              <w:t>$88,732.49</w:t>
            </w:r>
          </w:p>
        </w:tc>
        <w:tc>
          <w:tcPr>
            <w:tcW w:w="1200" w:type="dxa"/>
            <w:shd w:val="clear" w:color="auto" w:fill="F7F1E8"/>
            <w:tcMar>
              <w:top w:w="60" w:type="dxa"/>
              <w:left w:w="100" w:type="dxa"/>
              <w:bottom w:w="60" w:type="dxa"/>
              <w:right w:w="100" w:type="dxa"/>
            </w:tcMar>
          </w:tcPr>
          <w:p w14:paraId="7497B9F3" w14:textId="77777777" w:rsidR="00F35A35" w:rsidRDefault="00000000">
            <w:r>
              <w:rPr>
                <w:color w:val="000000"/>
              </w:rPr>
              <w:t>67.4%</w:t>
            </w:r>
          </w:p>
        </w:tc>
        <w:tc>
          <w:tcPr>
            <w:tcW w:w="1600" w:type="dxa"/>
            <w:shd w:val="clear" w:color="auto" w:fill="F7F1E8"/>
            <w:tcMar>
              <w:top w:w="60" w:type="dxa"/>
              <w:left w:w="100" w:type="dxa"/>
              <w:bottom w:w="60" w:type="dxa"/>
              <w:right w:w="100" w:type="dxa"/>
            </w:tcMar>
          </w:tcPr>
          <w:p w14:paraId="7BC58328" w14:textId="77777777" w:rsidR="00F35A35" w:rsidRDefault="00000000">
            <w:r>
              <w:rPr>
                <w:color w:val="000000"/>
              </w:rPr>
              <w:t>92.9%</w:t>
            </w:r>
          </w:p>
        </w:tc>
        <w:tc>
          <w:tcPr>
            <w:tcW w:w="1600" w:type="dxa"/>
            <w:shd w:val="clear" w:color="auto" w:fill="F7F1E8"/>
            <w:tcMar>
              <w:top w:w="60" w:type="dxa"/>
              <w:left w:w="100" w:type="dxa"/>
              <w:bottom w:w="60" w:type="dxa"/>
              <w:right w:w="100" w:type="dxa"/>
            </w:tcMar>
          </w:tcPr>
          <w:p w14:paraId="63458B3E" w14:textId="77777777" w:rsidR="00F35A35" w:rsidRDefault="00000000">
            <w:r>
              <w:rPr>
                <w:color w:val="000000"/>
              </w:rPr>
              <w:t>95.1%</w:t>
            </w:r>
          </w:p>
        </w:tc>
        <w:tc>
          <w:tcPr>
            <w:tcW w:w="1600" w:type="dxa"/>
            <w:shd w:val="clear" w:color="auto" w:fill="F7F1E8"/>
            <w:tcMar>
              <w:top w:w="60" w:type="dxa"/>
              <w:left w:w="100" w:type="dxa"/>
              <w:bottom w:w="60" w:type="dxa"/>
              <w:right w:w="100" w:type="dxa"/>
            </w:tcMar>
          </w:tcPr>
          <w:p w14:paraId="7DFBB125" w14:textId="77777777" w:rsidR="00F35A35" w:rsidRDefault="00000000">
            <w:r>
              <w:rPr>
                <w:color w:val="000000"/>
              </w:rPr>
              <w:t>+2.18</w:t>
            </w:r>
          </w:p>
        </w:tc>
      </w:tr>
      <w:tr w:rsidR="00F35A35" w14:paraId="4959F46F"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7E0295EC" w14:textId="77777777" w:rsidR="00F35A35" w:rsidRDefault="00000000">
            <w:r>
              <w:rPr>
                <w:color w:val="000000"/>
              </w:rPr>
              <w:t>Other</w:t>
            </w:r>
          </w:p>
        </w:tc>
        <w:tc>
          <w:tcPr>
            <w:tcW w:w="1800" w:type="dxa"/>
            <w:shd w:val="clear" w:color="auto" w:fill="FFFFFF"/>
            <w:tcMar>
              <w:top w:w="60" w:type="dxa"/>
              <w:left w:w="100" w:type="dxa"/>
              <w:bottom w:w="60" w:type="dxa"/>
              <w:right w:w="100" w:type="dxa"/>
            </w:tcMar>
          </w:tcPr>
          <w:p w14:paraId="443E7978" w14:textId="77777777" w:rsidR="00F35A35" w:rsidRDefault="00000000">
            <w:r>
              <w:rPr>
                <w:color w:val="000000"/>
              </w:rPr>
              <w:t>$9,663.25</w:t>
            </w:r>
          </w:p>
        </w:tc>
        <w:tc>
          <w:tcPr>
            <w:tcW w:w="1800" w:type="dxa"/>
            <w:shd w:val="clear" w:color="auto" w:fill="FFFFFF"/>
            <w:tcMar>
              <w:top w:w="60" w:type="dxa"/>
              <w:left w:w="100" w:type="dxa"/>
              <w:bottom w:w="60" w:type="dxa"/>
              <w:right w:w="100" w:type="dxa"/>
            </w:tcMar>
          </w:tcPr>
          <w:p w14:paraId="2BC6B874" w14:textId="77777777" w:rsidR="00F35A35" w:rsidRDefault="00000000">
            <w:r>
              <w:rPr>
                <w:color w:val="000000"/>
              </w:rPr>
              <w:t>$4,333.45</w:t>
            </w:r>
          </w:p>
        </w:tc>
        <w:tc>
          <w:tcPr>
            <w:tcW w:w="1200" w:type="dxa"/>
            <w:shd w:val="clear" w:color="auto" w:fill="FFFFFF"/>
            <w:tcMar>
              <w:top w:w="60" w:type="dxa"/>
              <w:left w:w="100" w:type="dxa"/>
              <w:bottom w:w="60" w:type="dxa"/>
              <w:right w:w="100" w:type="dxa"/>
            </w:tcMar>
          </w:tcPr>
          <w:p w14:paraId="019EF50A" w14:textId="77777777" w:rsidR="00F35A35" w:rsidRDefault="00000000">
            <w:r>
              <w:rPr>
                <w:color w:val="000000"/>
              </w:rPr>
              <w:t>44.8%</w:t>
            </w:r>
          </w:p>
        </w:tc>
        <w:tc>
          <w:tcPr>
            <w:tcW w:w="1600" w:type="dxa"/>
            <w:shd w:val="clear" w:color="auto" w:fill="FFFFFF"/>
            <w:tcMar>
              <w:top w:w="60" w:type="dxa"/>
              <w:left w:w="100" w:type="dxa"/>
              <w:bottom w:w="60" w:type="dxa"/>
              <w:right w:w="100" w:type="dxa"/>
            </w:tcMar>
          </w:tcPr>
          <w:p w14:paraId="4A2B2B44" w14:textId="77777777" w:rsidR="00F35A35" w:rsidRDefault="00000000">
            <w:r>
              <w:rPr>
                <w:color w:val="000000"/>
              </w:rPr>
              <w:t>6.8%</w:t>
            </w:r>
          </w:p>
        </w:tc>
        <w:tc>
          <w:tcPr>
            <w:tcW w:w="1600" w:type="dxa"/>
            <w:shd w:val="clear" w:color="auto" w:fill="FFFFFF"/>
            <w:tcMar>
              <w:top w:w="60" w:type="dxa"/>
              <w:left w:w="100" w:type="dxa"/>
              <w:bottom w:w="60" w:type="dxa"/>
              <w:right w:w="100" w:type="dxa"/>
            </w:tcMar>
          </w:tcPr>
          <w:p w14:paraId="7527B71A" w14:textId="77777777" w:rsidR="00F35A35" w:rsidRDefault="00000000">
            <w:r>
              <w:rPr>
                <w:color w:val="000000"/>
              </w:rPr>
              <w:t>4.6%</w:t>
            </w:r>
          </w:p>
        </w:tc>
        <w:tc>
          <w:tcPr>
            <w:tcW w:w="1600" w:type="dxa"/>
            <w:shd w:val="clear" w:color="auto" w:fill="FFFFFF"/>
            <w:tcMar>
              <w:top w:w="60" w:type="dxa"/>
              <w:left w:w="100" w:type="dxa"/>
              <w:bottom w:w="60" w:type="dxa"/>
              <w:right w:w="100" w:type="dxa"/>
            </w:tcMar>
          </w:tcPr>
          <w:p w14:paraId="0FA85F3A" w14:textId="77777777" w:rsidR="00F35A35" w:rsidRDefault="00000000">
            <w:r>
              <w:rPr>
                <w:color w:val="000000"/>
              </w:rPr>
              <w:t>−2.18</w:t>
            </w:r>
          </w:p>
        </w:tc>
      </w:tr>
      <w:tr w:rsidR="00F35A35" w14:paraId="1996BCA2" w14:textId="77777777">
        <w:tblPrEx>
          <w:tblCellMar>
            <w:top w:w="0" w:type="dxa"/>
            <w:bottom w:w="0" w:type="dxa"/>
          </w:tblCellMar>
        </w:tblPrEx>
        <w:tc>
          <w:tcPr>
            <w:tcW w:w="1600" w:type="dxa"/>
            <w:shd w:val="clear" w:color="auto" w:fill="F7F1E8"/>
            <w:tcMar>
              <w:top w:w="60" w:type="dxa"/>
              <w:left w:w="100" w:type="dxa"/>
              <w:bottom w:w="60" w:type="dxa"/>
              <w:right w:w="100" w:type="dxa"/>
            </w:tcMar>
          </w:tcPr>
          <w:p w14:paraId="1B03214A" w14:textId="77777777" w:rsidR="00F35A35" w:rsidRDefault="00000000">
            <w:r>
              <w:rPr>
                <w:color w:val="000000"/>
              </w:rPr>
              <w:t>Sugar</w:t>
            </w:r>
          </w:p>
        </w:tc>
        <w:tc>
          <w:tcPr>
            <w:tcW w:w="1800" w:type="dxa"/>
            <w:shd w:val="clear" w:color="auto" w:fill="F7F1E8"/>
            <w:tcMar>
              <w:top w:w="60" w:type="dxa"/>
              <w:left w:w="100" w:type="dxa"/>
              <w:bottom w:w="60" w:type="dxa"/>
              <w:right w:w="100" w:type="dxa"/>
            </w:tcMar>
          </w:tcPr>
          <w:p w14:paraId="6220DAFD" w14:textId="77777777" w:rsidR="00F35A35" w:rsidRDefault="00000000">
            <w:r>
              <w:rPr>
                <w:color w:val="000000"/>
              </w:rPr>
              <w:t>$427.48</w:t>
            </w:r>
          </w:p>
        </w:tc>
        <w:tc>
          <w:tcPr>
            <w:tcW w:w="1800" w:type="dxa"/>
            <w:shd w:val="clear" w:color="auto" w:fill="F7F1E8"/>
            <w:tcMar>
              <w:top w:w="60" w:type="dxa"/>
              <w:left w:w="100" w:type="dxa"/>
              <w:bottom w:w="60" w:type="dxa"/>
              <w:right w:w="100" w:type="dxa"/>
            </w:tcMar>
          </w:tcPr>
          <w:p w14:paraId="217E0436" w14:textId="77777777" w:rsidR="00F35A35" w:rsidRDefault="00000000">
            <w:r>
              <w:rPr>
                <w:color w:val="000000"/>
              </w:rPr>
              <w:t>$284.73</w:t>
            </w:r>
          </w:p>
        </w:tc>
        <w:tc>
          <w:tcPr>
            <w:tcW w:w="1200" w:type="dxa"/>
            <w:shd w:val="clear" w:color="auto" w:fill="F7F1E8"/>
            <w:tcMar>
              <w:top w:w="60" w:type="dxa"/>
              <w:left w:w="100" w:type="dxa"/>
              <w:bottom w:w="60" w:type="dxa"/>
              <w:right w:w="100" w:type="dxa"/>
            </w:tcMar>
          </w:tcPr>
          <w:p w14:paraId="7A745F75" w14:textId="77777777" w:rsidR="00F35A35" w:rsidRDefault="00000000">
            <w:r>
              <w:rPr>
                <w:color w:val="000000"/>
              </w:rPr>
              <w:t>66.6%</w:t>
            </w:r>
          </w:p>
        </w:tc>
        <w:tc>
          <w:tcPr>
            <w:tcW w:w="1600" w:type="dxa"/>
            <w:shd w:val="clear" w:color="auto" w:fill="F7F1E8"/>
            <w:tcMar>
              <w:top w:w="60" w:type="dxa"/>
              <w:left w:w="100" w:type="dxa"/>
              <w:bottom w:w="60" w:type="dxa"/>
              <w:right w:w="100" w:type="dxa"/>
            </w:tcMar>
          </w:tcPr>
          <w:p w14:paraId="5D7F1585" w14:textId="77777777" w:rsidR="00F35A35" w:rsidRDefault="00000000">
            <w:r>
              <w:rPr>
                <w:color w:val="000000"/>
              </w:rPr>
              <w:t>0.3%</w:t>
            </w:r>
          </w:p>
        </w:tc>
        <w:tc>
          <w:tcPr>
            <w:tcW w:w="1600" w:type="dxa"/>
            <w:shd w:val="clear" w:color="auto" w:fill="F7F1E8"/>
            <w:tcMar>
              <w:top w:w="60" w:type="dxa"/>
              <w:left w:w="100" w:type="dxa"/>
              <w:bottom w:w="60" w:type="dxa"/>
              <w:right w:w="100" w:type="dxa"/>
            </w:tcMar>
          </w:tcPr>
          <w:p w14:paraId="6F697FA2" w14:textId="77777777" w:rsidR="00F35A35" w:rsidRDefault="00000000">
            <w:r>
              <w:rPr>
                <w:color w:val="000000"/>
              </w:rPr>
              <w:t>0.3%</w:t>
            </w:r>
          </w:p>
        </w:tc>
        <w:tc>
          <w:tcPr>
            <w:tcW w:w="1600" w:type="dxa"/>
            <w:shd w:val="clear" w:color="auto" w:fill="F7F1E8"/>
            <w:tcMar>
              <w:top w:w="60" w:type="dxa"/>
              <w:left w:w="100" w:type="dxa"/>
              <w:bottom w:w="60" w:type="dxa"/>
              <w:right w:w="100" w:type="dxa"/>
            </w:tcMar>
          </w:tcPr>
          <w:p w14:paraId="3D524E68" w14:textId="77777777" w:rsidR="00F35A35" w:rsidRDefault="00000000">
            <w:r>
              <w:rPr>
                <w:color w:val="000000"/>
              </w:rPr>
              <w:t>+0.00</w:t>
            </w:r>
          </w:p>
        </w:tc>
      </w:tr>
    </w:tbl>
    <w:p w14:paraId="46CF45F4" w14:textId="77777777" w:rsidR="00F35A35" w:rsidRDefault="00000000">
      <w:pPr>
        <w:spacing w:after="160"/>
      </w:pPr>
      <w:r>
        <w:t>Chocolate leads on both volume and margin — 67.4% gross margin, well ahead of the other two divisions — and it converts revenue into profit slightly better than its revenue share alone would predict, at +2.18 percentage points of profit share versus revenue share. Structurally, this is a healthy division.</w:t>
      </w:r>
    </w:p>
    <w:p w14:paraId="18BB76D6" w14:textId="77777777" w:rsidR="00F35A35" w:rsidRDefault="00000000">
      <w:pPr>
        <w:spacing w:after="160"/>
      </w:pPr>
      <w:r>
        <w:t>The Other division (Wonka Gum, Kazookles, Lickable Wallpaper) is the clear underperformer. Its 44.8% margin sits more than 20 points below Chocolate’s, and it captures 2.18 percentage points less of total profit than its revenue share would predict — a direct sign that Kazookles’s near-zero margin is dragging the whole division average down.</w:t>
      </w:r>
    </w:p>
    <w:p w14:paraId="6ACAB75F" w14:textId="77777777" w:rsidR="00F35A35" w:rsidRDefault="00000000">
      <w:pPr>
        <w:spacing w:after="160"/>
      </w:pPr>
      <w:r>
        <w:t>The Sugar division looks healthy on margin (66.6%), but it’s a rounding error in absolute terms — just 40 orders and $427 in total sales across two years, compared to 8,205 orders for Chocolate. Someone should figure out whether Sugar-division products are being deliberately incubated as a strategic category or simply aren’t being sold or marketed with much effort; the data on its own can’t tell us which.</w:t>
      </w:r>
    </w:p>
    <w:p w14:paraId="7DE9AA39" w14:textId="77777777" w:rsidR="00F35A35" w:rsidRDefault="00000000">
      <w:pPr>
        <w:spacing w:before="120" w:after="60"/>
        <w:jc w:val="center"/>
      </w:pPr>
      <w:r>
        <w:rPr>
          <w:noProof/>
        </w:rPr>
        <w:lastRenderedPageBreak/>
        <w:drawing>
          <wp:inline distT="0" distB="0" distL="0" distR="0" wp14:anchorId="0AC86F68" wp14:editId="4666AFAA">
            <wp:extent cx="5334000" cy="3667125"/>
            <wp:effectExtent l="0" t="0" r="0" b="0"/>
            <wp:docPr id="846664075" name="Picture 846664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667125"/>
                    </a:xfrm>
                    <a:prstGeom prst="rect">
                      <a:avLst/>
                    </a:prstGeom>
                  </pic:spPr>
                </pic:pic>
              </a:graphicData>
            </a:graphic>
          </wp:inline>
        </w:drawing>
      </w:r>
    </w:p>
    <w:p w14:paraId="08345082" w14:textId="77777777" w:rsidR="00F35A35" w:rsidRDefault="00000000">
      <w:pPr>
        <w:spacing w:after="240"/>
        <w:jc w:val="center"/>
      </w:pPr>
      <w:r>
        <w:rPr>
          <w:i/>
          <w:iCs/>
          <w:color w:val="6B5D52"/>
          <w:sz w:val="18"/>
          <w:szCs w:val="18"/>
        </w:rPr>
        <w:t>Figure 4. Order-level gross margin distribution by division. The Other division shows both a lower median margin and wider spread than Chocolate or Sugar, indicating less predictable per-order profitability.</w:t>
      </w:r>
    </w:p>
    <w:p w14:paraId="5A01522F" w14:textId="77777777" w:rsidR="00F35A35" w:rsidRDefault="00000000">
      <w:pPr>
        <w:spacing w:before="120" w:after="60"/>
        <w:jc w:val="center"/>
      </w:pPr>
      <w:r>
        <w:rPr>
          <w:noProof/>
        </w:rPr>
        <w:drawing>
          <wp:inline distT="0" distB="0" distL="0" distR="0" wp14:anchorId="6C6DE027" wp14:editId="4E3D1860">
            <wp:extent cx="5334000" cy="2933700"/>
            <wp:effectExtent l="0" t="0" r="0" b="0"/>
            <wp:docPr id="2072536292" name="Picture 2072536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933700"/>
                    </a:xfrm>
                    <a:prstGeom prst="rect">
                      <a:avLst/>
                    </a:prstGeom>
                  </pic:spPr>
                </pic:pic>
              </a:graphicData>
            </a:graphic>
          </wp:inline>
        </w:drawing>
      </w:r>
    </w:p>
    <w:p w14:paraId="7FBAAF6F" w14:textId="77777777" w:rsidR="00F35A35" w:rsidRDefault="00000000">
      <w:pPr>
        <w:spacing w:after="240"/>
        <w:jc w:val="center"/>
      </w:pPr>
      <w:r>
        <w:rPr>
          <w:i/>
          <w:iCs/>
          <w:color w:val="6B5D52"/>
          <w:sz w:val="18"/>
          <w:szCs w:val="18"/>
        </w:rPr>
        <w:t>Figure 5. Monthly gross margin trend by division across the two-year analysis window.</w:t>
      </w:r>
    </w:p>
    <w:p w14:paraId="2B702766" w14:textId="77777777" w:rsidR="006F6A44" w:rsidRDefault="006F6A44">
      <w:pPr>
        <w:pStyle w:val="Heading1"/>
      </w:pPr>
    </w:p>
    <w:p w14:paraId="1DDDAEF3" w14:textId="77777777" w:rsidR="006F6A44" w:rsidRDefault="006F6A44">
      <w:pPr>
        <w:pStyle w:val="Heading1"/>
      </w:pPr>
    </w:p>
    <w:p w14:paraId="373CE8FB" w14:textId="77777777" w:rsidR="006F6A44" w:rsidRDefault="006F6A44">
      <w:pPr>
        <w:pStyle w:val="Heading1"/>
      </w:pPr>
    </w:p>
    <w:p w14:paraId="37E937C6" w14:textId="5C8D63DC" w:rsidR="00F35A35" w:rsidRDefault="00000000">
      <w:pPr>
        <w:pStyle w:val="Heading1"/>
      </w:pPr>
      <w:r>
        <w:lastRenderedPageBreak/>
        <w:t>6. Profit Concentration (Pareto) Analysis</w:t>
      </w:r>
    </w:p>
    <w:p w14:paraId="090D89EA" w14:textId="77777777" w:rsidR="00F35A35" w:rsidRDefault="00000000">
      <w:pPr>
        <w:spacing w:after="160"/>
      </w:pPr>
      <w:r>
        <w:t>A classic 80/20 concentration test was applied at both the product and geographic levels.</w:t>
      </w:r>
    </w:p>
    <w:p w14:paraId="67708775" w14:textId="77777777" w:rsidR="00F35A35" w:rsidRDefault="00000000">
      <w:pPr>
        <w:spacing w:before="120" w:after="60"/>
        <w:jc w:val="center"/>
      </w:pPr>
      <w:r>
        <w:rPr>
          <w:noProof/>
        </w:rPr>
        <w:drawing>
          <wp:inline distT="0" distB="0" distL="0" distR="0" wp14:anchorId="18DCFD69" wp14:editId="70F25326">
            <wp:extent cx="5334000" cy="2256692"/>
            <wp:effectExtent l="0" t="0" r="0" b="0"/>
            <wp:docPr id="1182475116" name="Picture 1182475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256692"/>
                    </a:xfrm>
                    <a:prstGeom prst="rect">
                      <a:avLst/>
                    </a:prstGeom>
                  </pic:spPr>
                </pic:pic>
              </a:graphicData>
            </a:graphic>
          </wp:inline>
        </w:drawing>
      </w:r>
    </w:p>
    <w:p w14:paraId="63098F35" w14:textId="77777777" w:rsidR="00F35A35" w:rsidRDefault="00000000">
      <w:pPr>
        <w:spacing w:after="240"/>
        <w:jc w:val="center"/>
      </w:pPr>
      <w:r>
        <w:rPr>
          <w:i/>
          <w:iCs/>
          <w:color w:val="6B5D52"/>
          <w:sz w:val="18"/>
          <w:szCs w:val="18"/>
        </w:rPr>
        <w:t>Figure 6. Pareto concentration of product revenue (left) and gross profit (right).</w:t>
      </w:r>
    </w:p>
    <w:p w14:paraId="00C7E031" w14:textId="77777777" w:rsidR="00F35A35" w:rsidRDefault="00000000">
      <w:pPr>
        <w:spacing w:after="160"/>
      </w:pPr>
      <w:r>
        <w:t>Just 5 of the 15 products (33%) generate 80% of total revenue, and the same five generate 80% of total gross profit — in both cases, that’s the five Chocolate Wonka Bar SKUs called out as Stars in Section 4.1. It’s a textbook Pareto pattern, and it confirms that Nassau Candy’s profitability rests on a small, concentrated core of products rather than a broad, diversified catalog.</w:t>
      </w:r>
    </w:p>
    <w:p w14:paraId="0EF0558D" w14:textId="77777777" w:rsidR="00F35A35" w:rsidRDefault="00000000">
      <w:pPr>
        <w:spacing w:before="120" w:after="60"/>
        <w:jc w:val="center"/>
      </w:pPr>
      <w:r>
        <w:rPr>
          <w:noProof/>
        </w:rPr>
        <w:drawing>
          <wp:inline distT="0" distB="0" distL="0" distR="0" wp14:anchorId="1B6CC6E0" wp14:editId="371652C5">
            <wp:extent cx="5334000" cy="3259667"/>
            <wp:effectExtent l="0" t="0" r="0" b="0"/>
            <wp:docPr id="1420142563" name="Picture 1420142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259667"/>
                    </a:xfrm>
                    <a:prstGeom prst="rect">
                      <a:avLst/>
                    </a:prstGeom>
                  </pic:spPr>
                </pic:pic>
              </a:graphicData>
            </a:graphic>
          </wp:inline>
        </w:drawing>
      </w:r>
    </w:p>
    <w:p w14:paraId="350EB9F9" w14:textId="77777777" w:rsidR="00F35A35" w:rsidRDefault="00000000">
      <w:pPr>
        <w:spacing w:after="240"/>
        <w:jc w:val="center"/>
      </w:pPr>
      <w:r>
        <w:rPr>
          <w:i/>
          <w:iCs/>
          <w:color w:val="6B5D52"/>
          <w:sz w:val="18"/>
          <w:szCs w:val="18"/>
        </w:rPr>
        <w:t>Figure 7. Top 15 states by revenue.</w:t>
      </w:r>
    </w:p>
    <w:p w14:paraId="110149D5" w14:textId="77777777" w:rsidR="00F35A35" w:rsidRDefault="00000000">
      <w:pPr>
        <w:spacing w:after="160"/>
      </w:pPr>
      <w:r>
        <w:t>Geography shows a similar, if less extreme, pattern: 16 of 59 states (27%) account for 80% of total revenue, led by California ($27,903.70), New York ($15,541.03), and Texas ($13,406.34). That’s a moderate dependency risk — not as acute as the product concentration, but worth keeping an eye on, especially if any of the top three states runs into a regional demand or logistics disruption.</w:t>
      </w:r>
    </w:p>
    <w:p w14:paraId="797A2D54" w14:textId="77777777" w:rsidR="00F35A35" w:rsidRDefault="00000000">
      <w:pPr>
        <w:pStyle w:val="Heading1"/>
      </w:pPr>
      <w:r>
        <w:lastRenderedPageBreak/>
        <w:t>7. Cost Structure Diagnostics</w:t>
      </w:r>
    </w:p>
    <w:p w14:paraId="5F29F9DF" w14:textId="77777777" w:rsidR="00F35A35" w:rsidRDefault="00000000">
      <w:pPr>
        <w:spacing w:before="120" w:after="60"/>
        <w:jc w:val="center"/>
      </w:pPr>
      <w:r>
        <w:rPr>
          <w:noProof/>
        </w:rPr>
        <w:drawing>
          <wp:inline distT="0" distB="0" distL="0" distR="0" wp14:anchorId="6E722FC6" wp14:editId="2D9FA176">
            <wp:extent cx="5334000" cy="3556000"/>
            <wp:effectExtent l="0" t="0" r="0" b="0"/>
            <wp:docPr id="1586982943" name="Picture 1586982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556000"/>
                    </a:xfrm>
                    <a:prstGeom prst="rect">
                      <a:avLst/>
                    </a:prstGeom>
                  </pic:spPr>
                </pic:pic>
              </a:graphicData>
            </a:graphic>
          </wp:inline>
        </w:drawing>
      </w:r>
    </w:p>
    <w:p w14:paraId="6863B61A" w14:textId="77777777" w:rsidR="00F35A35" w:rsidRDefault="00000000">
      <w:pPr>
        <w:spacing w:after="240"/>
        <w:jc w:val="center"/>
      </w:pPr>
      <w:r>
        <w:rPr>
          <w:i/>
          <w:iCs/>
          <w:color w:val="6B5D52"/>
          <w:sz w:val="18"/>
          <w:szCs w:val="18"/>
        </w:rPr>
        <w:t>Figure 8. Cost-to-sales ratio by product (bubble size = total units sold). Products above the dashed line are flagged as high cost-risk.</w:t>
      </w:r>
    </w:p>
    <w:p w14:paraId="544DF855" w14:textId="77777777" w:rsidR="00F35A35" w:rsidRDefault="00000000">
      <w:pPr>
        <w:spacing w:after="160"/>
      </w:pPr>
      <w:r>
        <w:t>Flagging any product whose cost-to-sales ratio sits more than one standard deviation above the median — a threshold of 55.0% in this dataset — turns up two products that need immediate review: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2200"/>
        <w:gridCol w:w="2200"/>
      </w:tblGrid>
      <w:tr w:rsidR="00F35A35" w14:paraId="20C5C6D0" w14:textId="77777777">
        <w:tblPrEx>
          <w:tblCellMar>
            <w:top w:w="0" w:type="dxa"/>
            <w:bottom w:w="0" w:type="dxa"/>
          </w:tblCellMar>
        </w:tblPrEx>
        <w:trPr>
          <w:tblHeader/>
        </w:trPr>
        <w:tc>
          <w:tcPr>
            <w:tcW w:w="2600" w:type="dxa"/>
            <w:shd w:val="clear" w:color="auto" w:fill="5B3A29"/>
            <w:tcMar>
              <w:top w:w="60" w:type="dxa"/>
              <w:left w:w="100" w:type="dxa"/>
              <w:bottom w:w="60" w:type="dxa"/>
              <w:right w:w="100" w:type="dxa"/>
            </w:tcMar>
          </w:tcPr>
          <w:p w14:paraId="4E3CBC81" w14:textId="77777777" w:rsidR="00F35A35" w:rsidRDefault="00000000">
            <w:r>
              <w:rPr>
                <w:b/>
                <w:bCs/>
                <w:color w:val="FFFFFF"/>
              </w:rPr>
              <w:t>Product</w:t>
            </w:r>
          </w:p>
        </w:tc>
        <w:tc>
          <w:tcPr>
            <w:tcW w:w="2400" w:type="dxa"/>
            <w:shd w:val="clear" w:color="auto" w:fill="5B3A29"/>
            <w:tcMar>
              <w:top w:w="60" w:type="dxa"/>
              <w:left w:w="100" w:type="dxa"/>
              <w:bottom w:w="60" w:type="dxa"/>
              <w:right w:w="100" w:type="dxa"/>
            </w:tcMar>
          </w:tcPr>
          <w:p w14:paraId="0B1882B9" w14:textId="77777777" w:rsidR="00F35A35" w:rsidRDefault="00000000">
            <w:r>
              <w:rPr>
                <w:b/>
                <w:bCs/>
                <w:color w:val="FFFFFF"/>
              </w:rPr>
              <w:t>Cost-to-Sales Ratio</w:t>
            </w:r>
          </w:p>
        </w:tc>
        <w:tc>
          <w:tcPr>
            <w:tcW w:w="2200" w:type="dxa"/>
            <w:shd w:val="clear" w:color="auto" w:fill="5B3A29"/>
            <w:tcMar>
              <w:top w:w="60" w:type="dxa"/>
              <w:left w:w="100" w:type="dxa"/>
              <w:bottom w:w="60" w:type="dxa"/>
              <w:right w:w="100" w:type="dxa"/>
            </w:tcMar>
          </w:tcPr>
          <w:p w14:paraId="465BAF39" w14:textId="77777777" w:rsidR="00F35A35" w:rsidRDefault="00000000">
            <w:r>
              <w:rPr>
                <w:b/>
                <w:bCs/>
                <w:color w:val="FFFFFF"/>
              </w:rPr>
              <w:t>Gross Margin %</w:t>
            </w:r>
          </w:p>
        </w:tc>
        <w:tc>
          <w:tcPr>
            <w:tcW w:w="2200" w:type="dxa"/>
            <w:shd w:val="clear" w:color="auto" w:fill="5B3A29"/>
            <w:tcMar>
              <w:top w:w="60" w:type="dxa"/>
              <w:left w:w="100" w:type="dxa"/>
              <w:bottom w:w="60" w:type="dxa"/>
              <w:right w:w="100" w:type="dxa"/>
            </w:tcMar>
          </w:tcPr>
          <w:p w14:paraId="465E0A81" w14:textId="77777777" w:rsidR="00F35A35" w:rsidRDefault="00000000">
            <w:r>
              <w:rPr>
                <w:b/>
                <w:bCs/>
                <w:color w:val="FFFFFF"/>
              </w:rPr>
              <w:t>Total Sales</w:t>
            </w:r>
          </w:p>
        </w:tc>
      </w:tr>
      <w:tr w:rsidR="00F35A35" w14:paraId="335FDBFF" w14:textId="77777777">
        <w:tblPrEx>
          <w:tblCellMar>
            <w:top w:w="0" w:type="dxa"/>
            <w:bottom w:w="0" w:type="dxa"/>
          </w:tblCellMar>
        </w:tblPrEx>
        <w:tc>
          <w:tcPr>
            <w:tcW w:w="2600" w:type="dxa"/>
            <w:shd w:val="clear" w:color="auto" w:fill="F7F1E8"/>
            <w:tcMar>
              <w:top w:w="60" w:type="dxa"/>
              <w:left w:w="100" w:type="dxa"/>
              <w:bottom w:w="60" w:type="dxa"/>
              <w:right w:w="100" w:type="dxa"/>
            </w:tcMar>
          </w:tcPr>
          <w:p w14:paraId="5E68EC22" w14:textId="77777777" w:rsidR="00F35A35" w:rsidRDefault="00000000">
            <w:r>
              <w:rPr>
                <w:color w:val="000000"/>
              </w:rPr>
              <w:t>Kazookles</w:t>
            </w:r>
          </w:p>
        </w:tc>
        <w:tc>
          <w:tcPr>
            <w:tcW w:w="2400" w:type="dxa"/>
            <w:shd w:val="clear" w:color="auto" w:fill="F7F1E8"/>
            <w:tcMar>
              <w:top w:w="60" w:type="dxa"/>
              <w:left w:w="100" w:type="dxa"/>
              <w:bottom w:w="60" w:type="dxa"/>
              <w:right w:w="100" w:type="dxa"/>
            </w:tcMar>
          </w:tcPr>
          <w:p w14:paraId="7A37B4A2" w14:textId="77777777" w:rsidR="00F35A35" w:rsidRDefault="00000000">
            <w:r>
              <w:rPr>
                <w:color w:val="000000"/>
              </w:rPr>
              <w:t>92.3%</w:t>
            </w:r>
          </w:p>
        </w:tc>
        <w:tc>
          <w:tcPr>
            <w:tcW w:w="2200" w:type="dxa"/>
            <w:shd w:val="clear" w:color="auto" w:fill="F7F1E8"/>
            <w:tcMar>
              <w:top w:w="60" w:type="dxa"/>
              <w:left w:w="100" w:type="dxa"/>
              <w:bottom w:w="60" w:type="dxa"/>
              <w:right w:w="100" w:type="dxa"/>
            </w:tcMar>
          </w:tcPr>
          <w:p w14:paraId="4619945A" w14:textId="77777777" w:rsidR="00F35A35" w:rsidRDefault="00000000">
            <w:r>
              <w:rPr>
                <w:color w:val="000000"/>
              </w:rPr>
              <w:t>7.7%</w:t>
            </w:r>
          </w:p>
        </w:tc>
        <w:tc>
          <w:tcPr>
            <w:tcW w:w="2200" w:type="dxa"/>
            <w:shd w:val="clear" w:color="auto" w:fill="F7F1E8"/>
            <w:tcMar>
              <w:top w:w="60" w:type="dxa"/>
              <w:left w:w="100" w:type="dxa"/>
              <w:bottom w:w="60" w:type="dxa"/>
              <w:right w:w="100" w:type="dxa"/>
            </w:tcMar>
          </w:tcPr>
          <w:p w14:paraId="5E5D10F1" w14:textId="77777777" w:rsidR="00F35A35" w:rsidRDefault="00000000">
            <w:r>
              <w:rPr>
                <w:color w:val="000000"/>
              </w:rPr>
              <w:t>$1,205.75</w:t>
            </w:r>
          </w:p>
        </w:tc>
      </w:tr>
      <w:tr w:rsidR="00F35A35" w14:paraId="7346DBDA"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7F87956F" w14:textId="77777777" w:rsidR="00F35A35" w:rsidRDefault="00000000">
            <w:r>
              <w:rPr>
                <w:color w:val="000000"/>
              </w:rPr>
              <w:t>Fun Dip</w:t>
            </w:r>
          </w:p>
        </w:tc>
        <w:tc>
          <w:tcPr>
            <w:tcW w:w="2400" w:type="dxa"/>
            <w:shd w:val="clear" w:color="auto" w:fill="FFFFFF"/>
            <w:tcMar>
              <w:top w:w="60" w:type="dxa"/>
              <w:left w:w="100" w:type="dxa"/>
              <w:bottom w:w="60" w:type="dxa"/>
              <w:right w:w="100" w:type="dxa"/>
            </w:tcMar>
          </w:tcPr>
          <w:p w14:paraId="0F7CAE53" w14:textId="77777777" w:rsidR="00F35A35" w:rsidRDefault="00000000">
            <w:r>
              <w:rPr>
                <w:color w:val="000000"/>
              </w:rPr>
              <w:t>60.0%</w:t>
            </w:r>
          </w:p>
        </w:tc>
        <w:tc>
          <w:tcPr>
            <w:tcW w:w="2200" w:type="dxa"/>
            <w:shd w:val="clear" w:color="auto" w:fill="FFFFFF"/>
            <w:tcMar>
              <w:top w:w="60" w:type="dxa"/>
              <w:left w:w="100" w:type="dxa"/>
              <w:bottom w:w="60" w:type="dxa"/>
              <w:right w:w="100" w:type="dxa"/>
            </w:tcMar>
          </w:tcPr>
          <w:p w14:paraId="3D386851" w14:textId="77777777" w:rsidR="00F35A35" w:rsidRDefault="00000000">
            <w:r>
              <w:rPr>
                <w:color w:val="000000"/>
              </w:rPr>
              <w:t>40.0%</w:t>
            </w:r>
          </w:p>
        </w:tc>
        <w:tc>
          <w:tcPr>
            <w:tcW w:w="2200" w:type="dxa"/>
            <w:shd w:val="clear" w:color="auto" w:fill="FFFFFF"/>
            <w:tcMar>
              <w:top w:w="60" w:type="dxa"/>
              <w:left w:w="100" w:type="dxa"/>
              <w:bottom w:w="60" w:type="dxa"/>
              <w:right w:w="100" w:type="dxa"/>
            </w:tcMar>
          </w:tcPr>
          <w:p w14:paraId="3806ADD0" w14:textId="77777777" w:rsidR="00F35A35" w:rsidRDefault="00000000">
            <w:r>
              <w:rPr>
                <w:color w:val="000000"/>
              </w:rPr>
              <w:t>$12.00</w:t>
            </w:r>
          </w:p>
        </w:tc>
      </w:tr>
    </w:tbl>
    <w:p w14:paraId="006D2B7E" w14:textId="77777777" w:rsidR="00F35A35" w:rsidRDefault="00000000">
      <w:pPr>
        <w:spacing w:after="160"/>
      </w:pPr>
      <w:r>
        <w:t>Kazookles is the single most urgent action item in this whole analysis — it combines real sales volume with a cost structure that eats 92 cents of every sales dollar. In order of preference, the next steps should be: renegotiate cost with The Other Factory, its sole sourcing plant; raise the price if market conditions allow, since its low current margin leaves plenty of room; or, if neither of those works, formally review it for discontinuation. Fun Dip’s cost ratio is also high, but its total sales are negligible ($12 over two years), so it’s a low-priority rationalization candidate rather than something worth repricing.</w:t>
      </w:r>
    </w:p>
    <w:p w14:paraId="772A2676" w14:textId="77777777" w:rsidR="00F35A35" w:rsidRDefault="00000000">
      <w:pPr>
        <w:spacing w:before="120" w:after="60"/>
        <w:jc w:val="center"/>
      </w:pPr>
      <w:r>
        <w:rPr>
          <w:noProof/>
        </w:rPr>
        <w:lastRenderedPageBreak/>
        <w:drawing>
          <wp:inline distT="0" distB="0" distL="0" distR="0" wp14:anchorId="6002004F" wp14:editId="47D2CBBD">
            <wp:extent cx="5334000" cy="4078941"/>
            <wp:effectExtent l="0" t="0" r="0" b="0"/>
            <wp:docPr id="1044949088" name="Picture 1044949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4078941"/>
                    </a:xfrm>
                    <a:prstGeom prst="rect">
                      <a:avLst/>
                    </a:prstGeom>
                  </pic:spPr>
                </pic:pic>
              </a:graphicData>
            </a:graphic>
          </wp:inline>
        </w:drawing>
      </w:r>
    </w:p>
    <w:p w14:paraId="271264B9" w14:textId="77777777" w:rsidR="00F35A35" w:rsidRDefault="00000000">
      <w:pPr>
        <w:spacing w:after="240"/>
        <w:jc w:val="center"/>
      </w:pPr>
      <w:r>
        <w:rPr>
          <w:i/>
          <w:iCs/>
          <w:color w:val="6B5D52"/>
          <w:sz w:val="18"/>
          <w:szCs w:val="18"/>
        </w:rPr>
        <w:t>Figure 9. Order-level Cost vs. Sales, colored by division. Points closer to the dashed break-even line represent lower-margin transactions; the Other division (blue) sits visibly closer to break-even than Chocolate (brown).</w:t>
      </w:r>
    </w:p>
    <w:p w14:paraId="07AEC2C9" w14:textId="77777777" w:rsidR="00F35A35" w:rsidRDefault="00000000">
      <w:pPr>
        <w:pStyle w:val="Heading2"/>
      </w:pPr>
      <w:r>
        <w:t>7.1 Factory Sourcing Rollup</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800"/>
        <w:gridCol w:w="1400"/>
        <w:gridCol w:w="2200"/>
      </w:tblGrid>
      <w:tr w:rsidR="00F35A35" w14:paraId="6DA20DA8" w14:textId="77777777">
        <w:tblPrEx>
          <w:tblCellMar>
            <w:top w:w="0" w:type="dxa"/>
            <w:bottom w:w="0" w:type="dxa"/>
          </w:tblCellMar>
        </w:tblPrEx>
        <w:trPr>
          <w:tblHeader/>
        </w:trPr>
        <w:tc>
          <w:tcPr>
            <w:tcW w:w="2400" w:type="dxa"/>
            <w:shd w:val="clear" w:color="auto" w:fill="5B3A29"/>
            <w:tcMar>
              <w:top w:w="60" w:type="dxa"/>
              <w:left w:w="100" w:type="dxa"/>
              <w:bottom w:w="60" w:type="dxa"/>
              <w:right w:w="100" w:type="dxa"/>
            </w:tcMar>
          </w:tcPr>
          <w:p w14:paraId="567347A0" w14:textId="77777777" w:rsidR="00F35A35" w:rsidRDefault="00000000">
            <w:r>
              <w:rPr>
                <w:b/>
                <w:bCs/>
                <w:color w:val="FFFFFF"/>
              </w:rPr>
              <w:t>Factory</w:t>
            </w:r>
          </w:p>
        </w:tc>
        <w:tc>
          <w:tcPr>
            <w:tcW w:w="1800" w:type="dxa"/>
            <w:shd w:val="clear" w:color="auto" w:fill="5B3A29"/>
            <w:tcMar>
              <w:top w:w="60" w:type="dxa"/>
              <w:left w:w="100" w:type="dxa"/>
              <w:bottom w:w="60" w:type="dxa"/>
              <w:right w:w="100" w:type="dxa"/>
            </w:tcMar>
          </w:tcPr>
          <w:p w14:paraId="1F8F9E38" w14:textId="77777777" w:rsidR="00F35A35" w:rsidRDefault="00000000">
            <w:r>
              <w:rPr>
                <w:b/>
                <w:bCs/>
                <w:color w:val="FFFFFF"/>
              </w:rPr>
              <w:t>Sales</w:t>
            </w:r>
          </w:p>
        </w:tc>
        <w:tc>
          <w:tcPr>
            <w:tcW w:w="1800" w:type="dxa"/>
            <w:shd w:val="clear" w:color="auto" w:fill="5B3A29"/>
            <w:tcMar>
              <w:top w:w="60" w:type="dxa"/>
              <w:left w:w="100" w:type="dxa"/>
              <w:bottom w:w="60" w:type="dxa"/>
              <w:right w:w="100" w:type="dxa"/>
            </w:tcMar>
          </w:tcPr>
          <w:p w14:paraId="63B57CB2" w14:textId="77777777" w:rsidR="00F35A35" w:rsidRDefault="00000000">
            <w:r>
              <w:rPr>
                <w:b/>
                <w:bCs/>
                <w:color w:val="FFFFFF"/>
              </w:rPr>
              <w:t>Gross Profit</w:t>
            </w:r>
          </w:p>
        </w:tc>
        <w:tc>
          <w:tcPr>
            <w:tcW w:w="1400" w:type="dxa"/>
            <w:shd w:val="clear" w:color="auto" w:fill="5B3A29"/>
            <w:tcMar>
              <w:top w:w="60" w:type="dxa"/>
              <w:left w:w="100" w:type="dxa"/>
              <w:bottom w:w="60" w:type="dxa"/>
              <w:right w:w="100" w:type="dxa"/>
            </w:tcMar>
          </w:tcPr>
          <w:p w14:paraId="447D94E7" w14:textId="77777777" w:rsidR="00F35A35" w:rsidRDefault="00000000">
            <w:r>
              <w:rPr>
                <w:b/>
                <w:bCs/>
                <w:color w:val="FFFFFF"/>
              </w:rPr>
              <w:t>Margin %</w:t>
            </w:r>
          </w:p>
        </w:tc>
        <w:tc>
          <w:tcPr>
            <w:tcW w:w="2200" w:type="dxa"/>
            <w:shd w:val="clear" w:color="auto" w:fill="5B3A29"/>
            <w:tcMar>
              <w:top w:w="60" w:type="dxa"/>
              <w:left w:w="100" w:type="dxa"/>
              <w:bottom w:w="60" w:type="dxa"/>
              <w:right w:w="100" w:type="dxa"/>
            </w:tcMar>
          </w:tcPr>
          <w:p w14:paraId="20C62C66" w14:textId="77777777" w:rsidR="00F35A35" w:rsidRDefault="00000000">
            <w:r>
              <w:rPr>
                <w:b/>
                <w:bCs/>
                <w:color w:val="FFFFFF"/>
              </w:rPr>
              <w:t>Products Sourced</w:t>
            </w:r>
          </w:p>
        </w:tc>
      </w:tr>
      <w:tr w:rsidR="00F35A35" w14:paraId="1162C94A" w14:textId="77777777">
        <w:tblPrEx>
          <w:tblCellMar>
            <w:top w:w="0" w:type="dxa"/>
            <w:bottom w:w="0" w:type="dxa"/>
          </w:tblCellMar>
        </w:tblPrEx>
        <w:tc>
          <w:tcPr>
            <w:tcW w:w="2400" w:type="dxa"/>
            <w:shd w:val="clear" w:color="auto" w:fill="F7F1E8"/>
            <w:tcMar>
              <w:top w:w="60" w:type="dxa"/>
              <w:left w:w="100" w:type="dxa"/>
              <w:bottom w:w="60" w:type="dxa"/>
              <w:right w:w="100" w:type="dxa"/>
            </w:tcMar>
          </w:tcPr>
          <w:p w14:paraId="7CF2E69B" w14:textId="77777777" w:rsidR="00F35A35" w:rsidRDefault="00000000">
            <w:r>
              <w:rPr>
                <w:color w:val="000000"/>
              </w:rPr>
              <w:t>Lot's O' Nuts</w:t>
            </w:r>
          </w:p>
        </w:tc>
        <w:tc>
          <w:tcPr>
            <w:tcW w:w="1800" w:type="dxa"/>
            <w:shd w:val="clear" w:color="auto" w:fill="F7F1E8"/>
            <w:tcMar>
              <w:top w:w="60" w:type="dxa"/>
              <w:left w:w="100" w:type="dxa"/>
              <w:bottom w:w="60" w:type="dxa"/>
              <w:right w:w="100" w:type="dxa"/>
            </w:tcMar>
          </w:tcPr>
          <w:p w14:paraId="0D85BCD3" w14:textId="77777777" w:rsidR="00F35A35" w:rsidRDefault="00000000">
            <w:r>
              <w:rPr>
                <w:color w:val="000000"/>
              </w:rPr>
              <w:t>$76,283.10</w:t>
            </w:r>
          </w:p>
        </w:tc>
        <w:tc>
          <w:tcPr>
            <w:tcW w:w="1800" w:type="dxa"/>
            <w:shd w:val="clear" w:color="auto" w:fill="F7F1E8"/>
            <w:tcMar>
              <w:top w:w="60" w:type="dxa"/>
              <w:left w:w="100" w:type="dxa"/>
              <w:bottom w:w="60" w:type="dxa"/>
              <w:right w:w="100" w:type="dxa"/>
            </w:tcMar>
          </w:tcPr>
          <w:p w14:paraId="5EA9AF83" w14:textId="77777777" w:rsidR="00F35A35" w:rsidRDefault="00000000">
            <w:r>
              <w:rPr>
                <w:color w:val="000000"/>
              </w:rPr>
              <w:t>$52,731.60</w:t>
            </w:r>
          </w:p>
        </w:tc>
        <w:tc>
          <w:tcPr>
            <w:tcW w:w="1400" w:type="dxa"/>
            <w:shd w:val="clear" w:color="auto" w:fill="F7F1E8"/>
            <w:tcMar>
              <w:top w:w="60" w:type="dxa"/>
              <w:left w:w="100" w:type="dxa"/>
              <w:bottom w:w="60" w:type="dxa"/>
              <w:right w:w="100" w:type="dxa"/>
            </w:tcMar>
          </w:tcPr>
          <w:p w14:paraId="2EBF0BA8" w14:textId="77777777" w:rsidR="00F35A35" w:rsidRDefault="00000000">
            <w:r>
              <w:rPr>
                <w:color w:val="000000"/>
              </w:rPr>
              <w:t>69.1%</w:t>
            </w:r>
          </w:p>
        </w:tc>
        <w:tc>
          <w:tcPr>
            <w:tcW w:w="2200" w:type="dxa"/>
            <w:shd w:val="clear" w:color="auto" w:fill="F7F1E8"/>
            <w:tcMar>
              <w:top w:w="60" w:type="dxa"/>
              <w:left w:w="100" w:type="dxa"/>
              <w:bottom w:w="60" w:type="dxa"/>
              <w:right w:w="100" w:type="dxa"/>
            </w:tcMar>
          </w:tcPr>
          <w:p w14:paraId="722F086A" w14:textId="77777777" w:rsidR="00F35A35" w:rsidRDefault="00000000">
            <w:r>
              <w:rPr>
                <w:color w:val="000000"/>
              </w:rPr>
              <w:t>3</w:t>
            </w:r>
          </w:p>
        </w:tc>
      </w:tr>
      <w:tr w:rsidR="00F35A35" w14:paraId="59307115"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15D0DC40" w14:textId="77777777" w:rsidR="00F35A35" w:rsidRDefault="00000000">
            <w:r>
              <w:rPr>
                <w:color w:val="000000"/>
              </w:rPr>
              <w:t>Wicked Choccy's</w:t>
            </w:r>
          </w:p>
        </w:tc>
        <w:tc>
          <w:tcPr>
            <w:tcW w:w="1800" w:type="dxa"/>
            <w:shd w:val="clear" w:color="auto" w:fill="FFFFFF"/>
            <w:tcMar>
              <w:top w:w="60" w:type="dxa"/>
              <w:left w:w="100" w:type="dxa"/>
              <w:bottom w:w="60" w:type="dxa"/>
              <w:right w:w="100" w:type="dxa"/>
            </w:tcMar>
          </w:tcPr>
          <w:p w14:paraId="089E37DA" w14:textId="77777777" w:rsidR="00F35A35" w:rsidRDefault="00000000">
            <w:r>
              <w:rPr>
                <w:color w:val="000000"/>
              </w:rPr>
              <w:t>$55,271.75</w:t>
            </w:r>
          </w:p>
        </w:tc>
        <w:tc>
          <w:tcPr>
            <w:tcW w:w="1800" w:type="dxa"/>
            <w:shd w:val="clear" w:color="auto" w:fill="FFFFFF"/>
            <w:tcMar>
              <w:top w:w="60" w:type="dxa"/>
              <w:left w:w="100" w:type="dxa"/>
              <w:bottom w:w="60" w:type="dxa"/>
              <w:right w:w="100" w:type="dxa"/>
            </w:tcMar>
          </w:tcPr>
          <w:p w14:paraId="38D16D4E" w14:textId="77777777" w:rsidR="00F35A35" w:rsidRDefault="00000000">
            <w:r>
              <w:rPr>
                <w:color w:val="000000"/>
              </w:rPr>
              <w:t>$36,000.89</w:t>
            </w:r>
          </w:p>
        </w:tc>
        <w:tc>
          <w:tcPr>
            <w:tcW w:w="1400" w:type="dxa"/>
            <w:shd w:val="clear" w:color="auto" w:fill="FFFFFF"/>
            <w:tcMar>
              <w:top w:w="60" w:type="dxa"/>
              <w:left w:w="100" w:type="dxa"/>
              <w:bottom w:w="60" w:type="dxa"/>
              <w:right w:w="100" w:type="dxa"/>
            </w:tcMar>
          </w:tcPr>
          <w:p w14:paraId="555B0B46" w14:textId="77777777" w:rsidR="00F35A35" w:rsidRDefault="00000000">
            <w:r>
              <w:rPr>
                <w:color w:val="000000"/>
              </w:rPr>
              <w:t>65.1%</w:t>
            </w:r>
          </w:p>
        </w:tc>
        <w:tc>
          <w:tcPr>
            <w:tcW w:w="2200" w:type="dxa"/>
            <w:shd w:val="clear" w:color="auto" w:fill="FFFFFF"/>
            <w:tcMar>
              <w:top w:w="60" w:type="dxa"/>
              <w:left w:w="100" w:type="dxa"/>
              <w:bottom w:w="60" w:type="dxa"/>
              <w:right w:w="100" w:type="dxa"/>
            </w:tcMar>
          </w:tcPr>
          <w:p w14:paraId="20CC5047" w14:textId="77777777" w:rsidR="00F35A35" w:rsidRDefault="00000000">
            <w:r>
              <w:rPr>
                <w:color w:val="000000"/>
              </w:rPr>
              <w:t>2</w:t>
            </w:r>
          </w:p>
        </w:tc>
      </w:tr>
      <w:tr w:rsidR="00F35A35" w14:paraId="4235CBFB" w14:textId="77777777">
        <w:tblPrEx>
          <w:tblCellMar>
            <w:top w:w="0" w:type="dxa"/>
            <w:bottom w:w="0" w:type="dxa"/>
          </w:tblCellMar>
        </w:tblPrEx>
        <w:tc>
          <w:tcPr>
            <w:tcW w:w="2400" w:type="dxa"/>
            <w:shd w:val="clear" w:color="auto" w:fill="F7F1E8"/>
            <w:tcMar>
              <w:top w:w="60" w:type="dxa"/>
              <w:left w:w="100" w:type="dxa"/>
              <w:bottom w:w="60" w:type="dxa"/>
              <w:right w:w="100" w:type="dxa"/>
            </w:tcMar>
          </w:tcPr>
          <w:p w14:paraId="326F22CC" w14:textId="77777777" w:rsidR="00F35A35" w:rsidRDefault="00000000">
            <w:r>
              <w:rPr>
                <w:color w:val="000000"/>
              </w:rPr>
              <w:t>Secret Factory</w:t>
            </w:r>
          </w:p>
        </w:tc>
        <w:tc>
          <w:tcPr>
            <w:tcW w:w="1800" w:type="dxa"/>
            <w:shd w:val="clear" w:color="auto" w:fill="F7F1E8"/>
            <w:tcMar>
              <w:top w:w="60" w:type="dxa"/>
              <w:left w:w="100" w:type="dxa"/>
              <w:bottom w:w="60" w:type="dxa"/>
              <w:right w:w="100" w:type="dxa"/>
            </w:tcMar>
          </w:tcPr>
          <w:p w14:paraId="6C96C2B9" w14:textId="77777777" w:rsidR="00F35A35" w:rsidRDefault="00000000">
            <w:r>
              <w:rPr>
                <w:color w:val="000000"/>
              </w:rPr>
              <w:t>$8,587.50</w:t>
            </w:r>
          </w:p>
        </w:tc>
        <w:tc>
          <w:tcPr>
            <w:tcW w:w="1800" w:type="dxa"/>
            <w:shd w:val="clear" w:color="auto" w:fill="F7F1E8"/>
            <w:tcMar>
              <w:top w:w="60" w:type="dxa"/>
              <w:left w:w="100" w:type="dxa"/>
              <w:bottom w:w="60" w:type="dxa"/>
              <w:right w:w="100" w:type="dxa"/>
            </w:tcMar>
          </w:tcPr>
          <w:p w14:paraId="6EB93282" w14:textId="77777777" w:rsidR="00F35A35" w:rsidRDefault="00000000">
            <w:r>
              <w:rPr>
                <w:color w:val="000000"/>
              </w:rPr>
              <w:t>$4,344.70</w:t>
            </w:r>
          </w:p>
        </w:tc>
        <w:tc>
          <w:tcPr>
            <w:tcW w:w="1400" w:type="dxa"/>
            <w:shd w:val="clear" w:color="auto" w:fill="F7F1E8"/>
            <w:tcMar>
              <w:top w:w="60" w:type="dxa"/>
              <w:left w:w="100" w:type="dxa"/>
              <w:bottom w:w="60" w:type="dxa"/>
              <w:right w:w="100" w:type="dxa"/>
            </w:tcMar>
          </w:tcPr>
          <w:p w14:paraId="51D39671" w14:textId="77777777" w:rsidR="00F35A35" w:rsidRDefault="00000000">
            <w:r>
              <w:rPr>
                <w:color w:val="000000"/>
              </w:rPr>
              <w:t>50.6%</w:t>
            </w:r>
          </w:p>
        </w:tc>
        <w:tc>
          <w:tcPr>
            <w:tcW w:w="2200" w:type="dxa"/>
            <w:shd w:val="clear" w:color="auto" w:fill="F7F1E8"/>
            <w:tcMar>
              <w:top w:w="60" w:type="dxa"/>
              <w:left w:w="100" w:type="dxa"/>
              <w:bottom w:w="60" w:type="dxa"/>
              <w:right w:w="100" w:type="dxa"/>
            </w:tcMar>
          </w:tcPr>
          <w:p w14:paraId="3D3F5893" w14:textId="77777777" w:rsidR="00F35A35" w:rsidRDefault="00000000">
            <w:r>
              <w:rPr>
                <w:color w:val="000000"/>
              </w:rPr>
              <w:t>3</w:t>
            </w:r>
          </w:p>
        </w:tc>
      </w:tr>
      <w:tr w:rsidR="00F35A35" w14:paraId="0F74C3F7"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24DF2817" w14:textId="77777777" w:rsidR="00F35A35" w:rsidRDefault="00000000">
            <w:r>
              <w:rPr>
                <w:color w:val="000000"/>
              </w:rPr>
              <w:t>The Other Factory</w:t>
            </w:r>
          </w:p>
        </w:tc>
        <w:tc>
          <w:tcPr>
            <w:tcW w:w="1800" w:type="dxa"/>
            <w:shd w:val="clear" w:color="auto" w:fill="FFFFFF"/>
            <w:tcMar>
              <w:top w:w="60" w:type="dxa"/>
              <w:left w:w="100" w:type="dxa"/>
              <w:bottom w:w="60" w:type="dxa"/>
              <w:right w:w="100" w:type="dxa"/>
            </w:tcMar>
          </w:tcPr>
          <w:p w14:paraId="2011ADE9" w14:textId="77777777" w:rsidR="00F35A35" w:rsidRDefault="00000000">
            <w:r>
              <w:rPr>
                <w:color w:val="000000"/>
              </w:rPr>
              <w:t>$1,282.25</w:t>
            </w:r>
          </w:p>
        </w:tc>
        <w:tc>
          <w:tcPr>
            <w:tcW w:w="1800" w:type="dxa"/>
            <w:shd w:val="clear" w:color="auto" w:fill="FFFFFF"/>
            <w:tcMar>
              <w:top w:w="60" w:type="dxa"/>
              <w:left w:w="100" w:type="dxa"/>
              <w:bottom w:w="60" w:type="dxa"/>
              <w:right w:w="100" w:type="dxa"/>
            </w:tcMar>
          </w:tcPr>
          <w:p w14:paraId="614975EB" w14:textId="77777777" w:rsidR="00F35A35" w:rsidRDefault="00000000">
            <w:r>
              <w:rPr>
                <w:color w:val="000000"/>
              </w:rPr>
              <w:t>$152.25</w:t>
            </w:r>
          </w:p>
        </w:tc>
        <w:tc>
          <w:tcPr>
            <w:tcW w:w="1400" w:type="dxa"/>
            <w:shd w:val="clear" w:color="auto" w:fill="FFFFFF"/>
            <w:tcMar>
              <w:top w:w="60" w:type="dxa"/>
              <w:left w:w="100" w:type="dxa"/>
              <w:bottom w:w="60" w:type="dxa"/>
              <w:right w:w="100" w:type="dxa"/>
            </w:tcMar>
          </w:tcPr>
          <w:p w14:paraId="5A3DB400" w14:textId="77777777" w:rsidR="00F35A35" w:rsidRDefault="00000000">
            <w:r>
              <w:rPr>
                <w:color w:val="000000"/>
              </w:rPr>
              <w:t>11.9%</w:t>
            </w:r>
          </w:p>
        </w:tc>
        <w:tc>
          <w:tcPr>
            <w:tcW w:w="2200" w:type="dxa"/>
            <w:shd w:val="clear" w:color="auto" w:fill="FFFFFF"/>
            <w:tcMar>
              <w:top w:w="60" w:type="dxa"/>
              <w:left w:w="100" w:type="dxa"/>
              <w:bottom w:w="60" w:type="dxa"/>
              <w:right w:w="100" w:type="dxa"/>
            </w:tcMar>
          </w:tcPr>
          <w:p w14:paraId="0C2F58F7" w14:textId="77777777" w:rsidR="00F35A35" w:rsidRDefault="00000000">
            <w:r>
              <w:rPr>
                <w:color w:val="000000"/>
              </w:rPr>
              <w:t>2</w:t>
            </w:r>
          </w:p>
        </w:tc>
      </w:tr>
      <w:tr w:rsidR="00F35A35" w14:paraId="6C901F34" w14:textId="77777777">
        <w:tblPrEx>
          <w:tblCellMar>
            <w:top w:w="0" w:type="dxa"/>
            <w:bottom w:w="0" w:type="dxa"/>
          </w:tblCellMar>
        </w:tblPrEx>
        <w:tc>
          <w:tcPr>
            <w:tcW w:w="2400" w:type="dxa"/>
            <w:shd w:val="clear" w:color="auto" w:fill="F7F1E8"/>
            <w:tcMar>
              <w:top w:w="60" w:type="dxa"/>
              <w:left w:w="100" w:type="dxa"/>
              <w:bottom w:w="60" w:type="dxa"/>
              <w:right w:w="100" w:type="dxa"/>
            </w:tcMar>
          </w:tcPr>
          <w:p w14:paraId="0D8E921B" w14:textId="77777777" w:rsidR="00F35A35" w:rsidRDefault="00000000">
            <w:r>
              <w:rPr>
                <w:color w:val="000000"/>
              </w:rPr>
              <w:t>Sugar Shack</w:t>
            </w:r>
          </w:p>
        </w:tc>
        <w:tc>
          <w:tcPr>
            <w:tcW w:w="1800" w:type="dxa"/>
            <w:shd w:val="clear" w:color="auto" w:fill="F7F1E8"/>
            <w:tcMar>
              <w:top w:w="60" w:type="dxa"/>
              <w:left w:w="100" w:type="dxa"/>
              <w:bottom w:w="60" w:type="dxa"/>
              <w:right w:w="100" w:type="dxa"/>
            </w:tcMar>
          </w:tcPr>
          <w:p w14:paraId="3187D234" w14:textId="77777777" w:rsidR="00F35A35" w:rsidRDefault="00000000">
            <w:r>
              <w:rPr>
                <w:color w:val="000000"/>
              </w:rPr>
              <w:t>$220.98</w:t>
            </w:r>
          </w:p>
        </w:tc>
        <w:tc>
          <w:tcPr>
            <w:tcW w:w="1800" w:type="dxa"/>
            <w:shd w:val="clear" w:color="auto" w:fill="F7F1E8"/>
            <w:tcMar>
              <w:top w:w="60" w:type="dxa"/>
              <w:left w:w="100" w:type="dxa"/>
              <w:bottom w:w="60" w:type="dxa"/>
              <w:right w:w="100" w:type="dxa"/>
            </w:tcMar>
          </w:tcPr>
          <w:p w14:paraId="4297D7CD" w14:textId="77777777" w:rsidR="00F35A35" w:rsidRDefault="00000000">
            <w:r>
              <w:rPr>
                <w:color w:val="000000"/>
              </w:rPr>
              <w:t>$121.23</w:t>
            </w:r>
          </w:p>
        </w:tc>
        <w:tc>
          <w:tcPr>
            <w:tcW w:w="1400" w:type="dxa"/>
            <w:shd w:val="clear" w:color="auto" w:fill="F7F1E8"/>
            <w:tcMar>
              <w:top w:w="60" w:type="dxa"/>
              <w:left w:w="100" w:type="dxa"/>
              <w:bottom w:w="60" w:type="dxa"/>
              <w:right w:w="100" w:type="dxa"/>
            </w:tcMar>
          </w:tcPr>
          <w:p w14:paraId="563EB52E" w14:textId="77777777" w:rsidR="00F35A35" w:rsidRDefault="00000000">
            <w:r>
              <w:rPr>
                <w:color w:val="000000"/>
              </w:rPr>
              <w:t>54.9%</w:t>
            </w:r>
          </w:p>
        </w:tc>
        <w:tc>
          <w:tcPr>
            <w:tcW w:w="2200" w:type="dxa"/>
            <w:shd w:val="clear" w:color="auto" w:fill="F7F1E8"/>
            <w:tcMar>
              <w:top w:w="60" w:type="dxa"/>
              <w:left w:w="100" w:type="dxa"/>
              <w:bottom w:w="60" w:type="dxa"/>
              <w:right w:w="100" w:type="dxa"/>
            </w:tcMar>
          </w:tcPr>
          <w:p w14:paraId="3EB97A28" w14:textId="77777777" w:rsidR="00F35A35" w:rsidRDefault="00000000">
            <w:r>
              <w:rPr>
                <w:color w:val="000000"/>
              </w:rPr>
              <w:t>5</w:t>
            </w:r>
          </w:p>
        </w:tc>
      </w:tr>
    </w:tbl>
    <w:p w14:paraId="700A0373" w14:textId="77777777" w:rsidR="00F35A35" w:rsidRDefault="00000000">
      <w:pPr>
        <w:spacing w:after="160"/>
      </w:pPr>
      <w:r>
        <w:t>The Other Factory, which sources Hair Toffee and Kazookles, has by far the weakest blended margin of any sourcing plant at 11.9% — and that’s driven almost entirely by Kazookles. That strengthens the case that Kazookles’s problem is really about sourcing and cost rather than demand or pricing on its own, since Hair Toffee comes from the same factory and carries a healthy 77.8% margin.</w:t>
      </w:r>
    </w:p>
    <w:p w14:paraId="678901F6" w14:textId="77777777" w:rsidR="006F6A44" w:rsidRDefault="006F6A44">
      <w:pPr>
        <w:pStyle w:val="Heading1"/>
      </w:pPr>
    </w:p>
    <w:p w14:paraId="11C46B91" w14:textId="77777777" w:rsidR="006F6A44" w:rsidRDefault="006F6A44">
      <w:pPr>
        <w:pStyle w:val="Heading1"/>
      </w:pPr>
    </w:p>
    <w:p w14:paraId="620AD5B4" w14:textId="77777777" w:rsidR="006F6A44" w:rsidRDefault="006F6A44">
      <w:pPr>
        <w:pStyle w:val="Heading1"/>
      </w:pPr>
    </w:p>
    <w:p w14:paraId="4B3352D4" w14:textId="375F674D" w:rsidR="00F35A35" w:rsidRDefault="00000000">
      <w:pPr>
        <w:pStyle w:val="Heading1"/>
      </w:pPr>
      <w:r>
        <w:lastRenderedPageBreak/>
        <w:t>8. Recommendations</w:t>
      </w:r>
    </w:p>
    <w:p w14:paraId="0AFD7931" w14:textId="77777777" w:rsidR="00F35A35" w:rsidRDefault="00000000">
      <w:pPr>
        <w:pStyle w:val="Heading2"/>
      </w:pPr>
      <w:r>
        <w:t>8.1 Protect and invest in the core</w:t>
      </w:r>
    </w:p>
    <w:p w14:paraId="391F0F0A" w14:textId="77777777" w:rsidR="00F35A35" w:rsidRDefault="00000000">
      <w:pPr>
        <w:pStyle w:val="ListParagraph"/>
        <w:numPr>
          <w:ilvl w:val="0"/>
          <w:numId w:val="1"/>
        </w:numPr>
        <w:spacing w:after="80"/>
      </w:pPr>
      <w:r>
        <w:t>Prioritize supply continuity, shelf placement, and promotional spend on the five Chocolate Wonka Bar SKUs. They generate 95% of profit and shouldn’t be treated as “mature” products competing on equal footing with the long tail for resources.</w:t>
      </w:r>
    </w:p>
    <w:p w14:paraId="7790BBFC" w14:textId="77777777" w:rsidR="00F35A35" w:rsidRDefault="00000000">
      <w:pPr>
        <w:pStyle w:val="Heading2"/>
      </w:pPr>
      <w:r>
        <w:t>8.2 Fix Kazookles immediately</w:t>
      </w:r>
    </w:p>
    <w:p w14:paraId="0688AC16" w14:textId="77777777" w:rsidR="00F35A35" w:rsidRDefault="00000000">
      <w:pPr>
        <w:pStyle w:val="ListParagraph"/>
        <w:numPr>
          <w:ilvl w:val="0"/>
          <w:numId w:val="1"/>
        </w:numPr>
        <w:spacing w:after="80"/>
      </w:pPr>
      <w:r>
        <w:t>Open a cost renegotiation with The Other Factory on Kazookles, or look at moving to a different sourcing plant — Lot’s O’ Nuts and Wicked Choccy’s both show much stronger cost efficiency.</w:t>
      </w:r>
    </w:p>
    <w:p w14:paraId="443E6D15" w14:textId="77777777" w:rsidR="00F35A35" w:rsidRDefault="00000000">
      <w:pPr>
        <w:pStyle w:val="ListParagraph"/>
        <w:numPr>
          <w:ilvl w:val="0"/>
          <w:numId w:val="1"/>
        </w:numPr>
        <w:spacing w:after="80"/>
      </w:pPr>
      <w:r>
        <w:t>If cost can’t come down, test a price increase — the current 7.7% margin leaves a lot of room before the product would become uncompetitive against its category peers.</w:t>
      </w:r>
    </w:p>
    <w:p w14:paraId="29EB9519" w14:textId="77777777" w:rsidR="00F35A35" w:rsidRDefault="00000000">
      <w:pPr>
        <w:pStyle w:val="ListParagraph"/>
        <w:numPr>
          <w:ilvl w:val="0"/>
          <w:numId w:val="1"/>
        </w:numPr>
        <w:spacing w:after="80"/>
      </w:pPr>
      <w:r>
        <w:t>If neither option works out within a defined review window, recommend discontinuing the product formally.</w:t>
      </w:r>
    </w:p>
    <w:p w14:paraId="4DC3AB16" w14:textId="77777777" w:rsidR="00F35A35" w:rsidRDefault="00000000">
      <w:pPr>
        <w:pStyle w:val="Heading2"/>
      </w:pPr>
      <w:r>
        <w:t>8.3 Reprice or review the Other division</w:t>
      </w:r>
    </w:p>
    <w:p w14:paraId="66873E03" w14:textId="77777777" w:rsidR="00F35A35" w:rsidRDefault="00000000">
      <w:pPr>
        <w:pStyle w:val="ListParagraph"/>
        <w:numPr>
          <w:ilvl w:val="0"/>
          <w:numId w:val="1"/>
        </w:numPr>
        <w:spacing w:after="80"/>
      </w:pPr>
      <w:r>
        <w:t>Lickable Wallpaper and Wonka Gum both sit in the Volume Trap quadrant. Even a few points of margin improvement from a targeted price or cost review would have an outsized impact, given Lickable Wallpaper’s relatively large revenue base.</w:t>
      </w:r>
    </w:p>
    <w:p w14:paraId="6D62DCD1" w14:textId="77777777" w:rsidR="00F35A35" w:rsidRDefault="00000000">
      <w:pPr>
        <w:pStyle w:val="Heading2"/>
      </w:pPr>
      <w:r>
        <w:t>8.4 Rationalize the long tail</w:t>
      </w:r>
    </w:p>
    <w:p w14:paraId="04BE3511" w14:textId="77777777" w:rsidR="00F35A35" w:rsidRDefault="00000000">
      <w:pPr>
        <w:pStyle w:val="ListParagraph"/>
        <w:numPr>
          <w:ilvl w:val="0"/>
          <w:numId w:val="1"/>
        </w:numPr>
        <w:spacing w:after="80"/>
      </w:pPr>
      <w:r>
        <w:t>Fizzy Lifting Drinks, SweeTARTS, Nerds, and Fun Dip together contribute under 0.1% of profit. Consolidate or discontinue them unless there’s a non-financial, strategic reason to keep them around — for instance, anchoring a broader Sugar-division catalog for a specific retail partner.</w:t>
      </w:r>
    </w:p>
    <w:p w14:paraId="10067976" w14:textId="77777777" w:rsidR="00F35A35" w:rsidRDefault="00000000">
      <w:pPr>
        <w:pStyle w:val="Heading2"/>
      </w:pPr>
      <w:r>
        <w:t>8.5 Monitor geographic concentration</w:t>
      </w:r>
    </w:p>
    <w:p w14:paraId="636E64C1" w14:textId="77777777" w:rsidR="00F35A35" w:rsidRDefault="00000000">
      <w:pPr>
        <w:pStyle w:val="ListParagraph"/>
        <w:numPr>
          <w:ilvl w:val="0"/>
          <w:numId w:val="1"/>
        </w:numPr>
        <w:spacing w:after="80"/>
      </w:pPr>
      <w:r>
        <w:t>California, New York, and Texas represent an outsized share of revenue. Factor that into regional risk planning — inventory buffers, alternate distribution routing — even though it’s a lower-urgency finding than the product-level concentration.</w:t>
      </w:r>
    </w:p>
    <w:p w14:paraId="1D1C257E" w14:textId="77777777" w:rsidR="00F35A35" w:rsidRDefault="00000000">
      <w:pPr>
        <w:pStyle w:val="Heading2"/>
      </w:pPr>
      <w:r>
        <w:t>8.6 Data quality follow-up</w:t>
      </w:r>
    </w:p>
    <w:p w14:paraId="5BD72365" w14:textId="77777777" w:rsidR="00F35A35" w:rsidRDefault="00000000">
      <w:pPr>
        <w:pStyle w:val="ListParagraph"/>
        <w:numPr>
          <w:ilvl w:val="0"/>
          <w:numId w:val="1"/>
        </w:numPr>
        <w:spacing w:after="80"/>
      </w:pPr>
      <w:r>
        <w:t>Investigate and fix whatever is producing the Ship Date values, which currently show implausible multi-year gaps between order and shipment. It doesn’t change the profitability findings here, but fixing it would meaningfully improve any future logistics or fulfillment analysis.</w:t>
      </w:r>
    </w:p>
    <w:p w14:paraId="6775C49D" w14:textId="70739E88" w:rsidR="00F35A35" w:rsidRDefault="00000000">
      <w:pPr>
        <w:pStyle w:val="Heading1"/>
      </w:pPr>
      <w:r>
        <w:t>9. Limitations</w:t>
      </w:r>
    </w:p>
    <w:p w14:paraId="2C049C98" w14:textId="77777777" w:rsidR="00F35A35" w:rsidRDefault="00000000">
      <w:pPr>
        <w:pStyle w:val="ListParagraph"/>
        <w:numPr>
          <w:ilvl w:val="0"/>
          <w:numId w:val="1"/>
        </w:numPr>
        <w:spacing w:after="80"/>
      </w:pPr>
      <w:r>
        <w:t>Sugar and Other are both small-sample divisions — 40 and 304 orders respectively, compared to 8,205 for Chocolate — so their KPIs are directionally useful but less statistically stable than Chocolate’s.</w:t>
      </w:r>
    </w:p>
    <w:p w14:paraId="47F839BA" w14:textId="77777777" w:rsidR="00F35A35" w:rsidRDefault="00000000">
      <w:pPr>
        <w:pStyle w:val="ListParagraph"/>
        <w:numPr>
          <w:ilvl w:val="0"/>
          <w:numId w:val="1"/>
        </w:numPr>
        <w:spacing w:after="80"/>
      </w:pPr>
      <w:r>
        <w:t>Margin volatility is calculated from monthly aggregates. Low-volume products, most of the Sugar division included, don’t have enough monthly observations for that number to be a reliable signal, so it should be read cautiously in the dashboard.</w:t>
      </w:r>
    </w:p>
    <w:p w14:paraId="18CB6B7D" w14:textId="77777777" w:rsidR="00F35A35" w:rsidRDefault="00000000">
      <w:pPr>
        <w:pStyle w:val="ListParagraph"/>
        <w:numPr>
          <w:ilvl w:val="0"/>
          <w:numId w:val="1"/>
        </w:numPr>
        <w:spacing w:after="80"/>
      </w:pPr>
      <w:r>
        <w:t>This is a single order-level dataset with no matched prior-period baseline, so any claims about margin “improving” or “declining” only hold within the 2024–2025 window covered here.</w:t>
      </w:r>
    </w:p>
    <w:p w14:paraId="4EE768DC" w14:textId="77777777" w:rsidR="00F35A35" w:rsidRDefault="00000000">
      <w:pPr>
        <w:pStyle w:val="Heading1"/>
      </w:pPr>
      <w:r>
        <w:lastRenderedPageBreak/>
        <w:t>10. Conclusion</w:t>
      </w:r>
    </w:p>
    <w:p w14:paraId="1EAEA095" w14:textId="77777777" w:rsidR="00F35A35" w:rsidRDefault="00000000">
      <w:pPr>
        <w:spacing w:after="160"/>
      </w:pPr>
      <w:r>
        <w:t>This analysis swaps intuition for a clear, data-driven picture of where Nassau Candy actually makes money. Profit is concentrated in five Chocolate-division products that outperform their revenue weight, while the Other division — and Kazookles specifically — is where a small, targeted move, renegotiating cost, repricing, or discontinuing, would have an outsized effect on blended margin. Sugar and the other long-tail products are financially immaterial right now and are best treated as a portfolio-rationalization decision. The accompanying Streamlit dashboard puts these findings into practice, so pricing, sourcing, and portfolio decisions can be made and tracked on an ongoing basis instead of waiting for the next annual review.</w:t>
      </w:r>
    </w:p>
    <w:sectPr w:rsidR="00F35A35">
      <w:headerReference w:type="default" r:id="rId1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80C80" w14:textId="77777777" w:rsidR="00D06AF9" w:rsidRDefault="00D06AF9">
      <w:r>
        <w:separator/>
      </w:r>
    </w:p>
  </w:endnote>
  <w:endnote w:type="continuationSeparator" w:id="0">
    <w:p w14:paraId="650A24DF" w14:textId="77777777" w:rsidR="00D06AF9" w:rsidRDefault="00D06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3DB75" w14:textId="77777777" w:rsidR="00F35A35" w:rsidRDefault="00000000">
    <w:pPr>
      <w:jc w:val="center"/>
    </w:pPr>
    <w:r>
      <w:rPr>
        <w:color w:val="6B5D52"/>
        <w:sz w:val="16"/>
        <w:szCs w:val="16"/>
      </w:rPr>
      <w:t xml:space="preserve">Page </w:t>
    </w:r>
    <w:r>
      <w:rPr>
        <w:color w:val="6B5D52"/>
        <w:sz w:val="16"/>
        <w:szCs w:val="16"/>
      </w:rPr>
      <w:fldChar w:fldCharType="begin"/>
    </w:r>
    <w:r>
      <w:rPr>
        <w:color w:val="6B5D52"/>
        <w:sz w:val="16"/>
        <w:szCs w:val="16"/>
      </w:rPr>
      <w:instrText>PAGE</w:instrText>
    </w:r>
    <w:r>
      <w:rPr>
        <w:color w:val="6B5D52"/>
        <w:sz w:val="16"/>
        <w:szCs w:val="16"/>
      </w:rPr>
      <w:fldChar w:fldCharType="separate"/>
    </w:r>
    <w:r w:rsidR="006F6A44">
      <w:rPr>
        <w:noProof/>
        <w:color w:val="6B5D52"/>
        <w:sz w:val="16"/>
        <w:szCs w:val="16"/>
      </w:rPr>
      <w:t>2</w:t>
    </w:r>
    <w:r>
      <w:rPr>
        <w:color w:val="6B5D5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72E36" w14:textId="77777777" w:rsidR="00D06AF9" w:rsidRDefault="00D06AF9">
      <w:r>
        <w:separator/>
      </w:r>
    </w:p>
  </w:footnote>
  <w:footnote w:type="continuationSeparator" w:id="0">
    <w:p w14:paraId="763A4025" w14:textId="77777777" w:rsidR="00D06AF9" w:rsidRDefault="00D06A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C6C7A" w14:textId="77777777" w:rsidR="00F35A35" w:rsidRDefault="00000000">
    <w:pPr>
      <w:jc w:val="right"/>
    </w:pPr>
    <w:r>
      <w:rPr>
        <w:color w:val="6B5D52"/>
        <w:sz w:val="16"/>
        <w:szCs w:val="16"/>
      </w:rPr>
      <w:t>Nassau Candy — Product Line Profitability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F6FC4"/>
    <w:multiLevelType w:val="hybridMultilevel"/>
    <w:tmpl w:val="859EA804"/>
    <w:lvl w:ilvl="0" w:tplc="2E805B0E">
      <w:start w:val="1"/>
      <w:numFmt w:val="bullet"/>
      <w:lvlText w:val="●"/>
      <w:lvlJc w:val="left"/>
      <w:pPr>
        <w:ind w:left="720" w:hanging="360"/>
      </w:pPr>
    </w:lvl>
    <w:lvl w:ilvl="1" w:tplc="A5FE86DC">
      <w:start w:val="1"/>
      <w:numFmt w:val="bullet"/>
      <w:lvlText w:val="○"/>
      <w:lvlJc w:val="left"/>
      <w:pPr>
        <w:ind w:left="1440" w:hanging="360"/>
      </w:pPr>
    </w:lvl>
    <w:lvl w:ilvl="2" w:tplc="41D0156C">
      <w:start w:val="1"/>
      <w:numFmt w:val="bullet"/>
      <w:lvlText w:val="■"/>
      <w:lvlJc w:val="left"/>
      <w:pPr>
        <w:ind w:left="2160" w:hanging="360"/>
      </w:pPr>
    </w:lvl>
    <w:lvl w:ilvl="3" w:tplc="51BC2332">
      <w:start w:val="1"/>
      <w:numFmt w:val="bullet"/>
      <w:lvlText w:val="●"/>
      <w:lvlJc w:val="left"/>
      <w:pPr>
        <w:ind w:left="2880" w:hanging="360"/>
      </w:pPr>
    </w:lvl>
    <w:lvl w:ilvl="4" w:tplc="A67C663C">
      <w:start w:val="1"/>
      <w:numFmt w:val="bullet"/>
      <w:lvlText w:val="○"/>
      <w:lvlJc w:val="left"/>
      <w:pPr>
        <w:ind w:left="3600" w:hanging="360"/>
      </w:pPr>
    </w:lvl>
    <w:lvl w:ilvl="5" w:tplc="9EAA4634">
      <w:start w:val="1"/>
      <w:numFmt w:val="bullet"/>
      <w:lvlText w:val="■"/>
      <w:lvlJc w:val="left"/>
      <w:pPr>
        <w:ind w:left="4320" w:hanging="360"/>
      </w:pPr>
    </w:lvl>
    <w:lvl w:ilvl="6" w:tplc="C9A8D0CA">
      <w:start w:val="1"/>
      <w:numFmt w:val="bullet"/>
      <w:lvlText w:val="●"/>
      <w:lvlJc w:val="left"/>
      <w:pPr>
        <w:ind w:left="5040" w:hanging="360"/>
      </w:pPr>
    </w:lvl>
    <w:lvl w:ilvl="7" w:tplc="54F80C96">
      <w:start w:val="1"/>
      <w:numFmt w:val="bullet"/>
      <w:lvlText w:val="●"/>
      <w:lvlJc w:val="left"/>
      <w:pPr>
        <w:ind w:left="5760" w:hanging="360"/>
      </w:pPr>
    </w:lvl>
    <w:lvl w:ilvl="8" w:tplc="3BF22E32">
      <w:start w:val="1"/>
      <w:numFmt w:val="bullet"/>
      <w:lvlText w:val="●"/>
      <w:lvlJc w:val="left"/>
      <w:pPr>
        <w:ind w:left="6480" w:hanging="360"/>
      </w:pPr>
    </w:lvl>
  </w:abstractNum>
  <w:num w:numId="1" w16cid:durableId="6429751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A35"/>
    <w:rsid w:val="00315957"/>
    <w:rsid w:val="006F6A44"/>
    <w:rsid w:val="00D06AF9"/>
    <w:rsid w:val="00F35A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AA0F6"/>
  <w15:docId w15:val="{BC9A5799-6F26-4342-952D-9941CA0A5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5B3A29"/>
      </w:pBdr>
      <w:spacing w:before="320" w:after="160"/>
      <w:outlineLvl w:val="0"/>
    </w:pPr>
    <w:rPr>
      <w:rFonts w:ascii="Georgia" w:eastAsia="Georgia" w:hAnsi="Georgia" w:cs="Georgia"/>
      <w:b/>
      <w:bCs/>
      <w:color w:val="5B3A29"/>
      <w:sz w:val="30"/>
      <w:szCs w:val="30"/>
    </w:rPr>
  </w:style>
  <w:style w:type="paragraph" w:styleId="Heading2">
    <w:name w:val="heading 2"/>
    <w:uiPriority w:val="9"/>
    <w:unhideWhenUsed/>
    <w:qFormat/>
    <w:pPr>
      <w:spacing w:before="240" w:after="120"/>
      <w:outlineLvl w:val="1"/>
    </w:pPr>
    <w:rPr>
      <w:rFonts w:ascii="Georgia" w:eastAsia="Georgia" w:hAnsi="Georgia" w:cs="Georgia"/>
      <w:b/>
      <w:bCs/>
      <w:color w:val="C0392B"/>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2467</Words>
  <Characters>14067</Characters>
  <Application>Microsoft Office Word</Application>
  <DocSecurity>0</DocSecurity>
  <Lines>117</Lines>
  <Paragraphs>33</Paragraphs>
  <ScaleCrop>false</ScaleCrop>
  <Company/>
  <LinksUpToDate>false</LinksUpToDate>
  <CharactersWithSpaces>16501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Deepika Gupta</cp:lastModifiedBy>
  <cp:revision>2</cp:revision>
  <dcterms:created xsi:type="dcterms:W3CDTF">2026-07-27T07:46:00Z</dcterms:created>
  <dcterms:modified xsi:type="dcterms:W3CDTF">2026-07-28T12:06:00Z</dcterms:modified>
</cp:coreProperties>
</file>