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sz w:val="72"/>
          <w:szCs w:val="72"/>
        </w:rPr>
        <w:t xml:space="preserve">🍬</w:t>
      </w:r>
    </w:p>
    <w:p>
      <w:pPr>
        <w:spacing w:after="120" w:before="200"/>
        <w:jc w:val="center"/>
      </w:pPr>
      <w:r>
        <w:rPr>
          <w:rFonts w:ascii="Georgia" w:cs="Georgia" w:eastAsia="Georgia" w:hAnsi="Georgia"/>
          <w:b/>
          <w:bCs/>
          <w:color w:val="5B3A29"/>
          <w:sz w:val="44"/>
          <w:szCs w:val="44"/>
        </w:rPr>
        <w:t xml:space="preserve">Product Line Profitability &amp; Margin</w:t>
      </w:r>
    </w:p>
    <w:p>
      <w:pPr>
        <w:spacing w:after="400"/>
        <w:jc w:val="center"/>
      </w:pPr>
      <w:r>
        <w:rPr>
          <w:rFonts w:ascii="Georgia" w:cs="Georgia" w:eastAsia="Georgia" w:hAnsi="Georgia"/>
          <w:b/>
          <w:bCs/>
          <w:color w:val="5B3A29"/>
          <w:sz w:val="44"/>
          <w:szCs w:val="44"/>
        </w:rPr>
        <w:t xml:space="preserve">Performance Analysis</w:t>
      </w:r>
    </w:p>
    <w:p>
      <w:pPr>
        <w:spacing w:after="100"/>
        <w:jc w:val="center"/>
      </w:pPr>
      <w:r>
        <w:rPr>
          <w:i/>
          <w:iCs/>
          <w:color w:val="C0392B"/>
          <w:sz w:val="28"/>
          <w:szCs w:val="28"/>
        </w:rPr>
        <w:t xml:space="preserve">Nassau Candy Distributor</w:t>
      </w:r>
    </w:p>
    <w:p>
      <w:pPr>
        <w:spacing w:after="800"/>
        <w:jc w:val="center"/>
      </w:pPr>
      <w:r>
        <w:rPr>
          <w:color w:val="6b5d52"/>
          <w:sz w:val="22"/>
          <w:szCs w:val="22"/>
        </w:rPr>
        <w:t xml:space="preserve">Research Paper — Exploratory Data Analysis, Insights &amp; Recommendations</w:t>
      </w:r>
    </w:p>
    <w:p>
      <w:pPr>
        <w:spacing w:after="40"/>
        <w:jc w:val="center"/>
      </w:pPr>
      <w:r>
        <w:rPr>
          <w:sz w:val="20"/>
          <w:szCs w:val="20"/>
        </w:rPr>
        <w:t xml:space="preserve">Prepared for: Nassau Candy Distributor</w:t>
      </w:r>
    </w:p>
    <w:p>
      <w:pPr>
        <w:spacing w:after="40"/>
        <w:jc w:val="center"/>
      </w:pPr>
      <w:r>
        <w:rPr>
          <w:sz w:val="20"/>
          <w:szCs w:val="20"/>
        </w:rPr>
        <w:t xml:space="preserve">Analysis period: 2 Jan 2024 – 31 Dec 2025</w:t>
      </w:r>
    </w:p>
    <w:p>
      <w:pPr>
        <w:spacing w:after="40"/>
        <w:jc w:val="center"/>
      </w:pPr>
      <w:r>
        <w:rPr>
          <w:sz w:val="20"/>
          <w:szCs w:val="20"/>
        </w:rPr>
        <w:t xml:space="preserve">Dataset: 10,180 validated order-level transactions across 15 products / 3 divisions</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Executive Overview</w:t>
      </w:r>
    </w:p>
    <w:p>
      <w:pPr>
        <w:spacing w:after="160"/>
      </w:pPr>
      <w:r>
        <w:t xml:space="preserve">Sales volume alone tells Nassau Candy very little about which products are actually worth selling. This analysis re-examines every recorded order — 10,180 validated transactions spanning January 2024 through December 2025, across 15 products in 3 divisions (Chocolate, Sugar, Other) — through the lens of gross margin, profit contribution, and cost structure rather than revenue alone.</w:t>
      </w:r>
    </w:p>
    <w:p>
      <w:pPr>
        <w:spacing w:after="160"/>
      </w:pPr>
      <w:r>
        <w:t xml:space="preserve">The headline finding is that profitability at Nassau Candy is heavily concentrated: five Chocolate-division Wonka Bar products generate roughly 95% of total gross profit while representing only a third of the active product catalog. The Chocolate division alone accounts for 92.9% of revenue and 95.1% of profit, meaning it is punching above its revenue weight, while the Other division (Wonka Gum, Kazookles, Lickable Wallpaper) converts a disproportionately smaller share of its revenue into profit. A small number of low-margin, high-cost items — most notably Kazookles — actively erode blended profitability and are flagged for pricing or sourcing review.</w:t>
      </w:r>
    </w:p>
    <w:p>
      <w:pPr>
        <w:spacing w:after="160"/>
      </w:pPr>
      <w:r>
        <w:t xml:space="preserve">Overall gross margin across the business is 65.9%, but this average masks wide dispersion: individual product margins range from 7.7% (Kazookles) to 80.0% (Everlasting Gobstopper). The recommendations in Section 8 focus on protecting the five profit-driving Wonka Bar SKUs, repricing or renegotiating costs on the flagged high-risk items, and treating the long tail of low-volume Sugar-division products as a rationalization decision rather than a growth opportunity.</w:t>
      </w:r>
    </w:p>
    <w:p>
      <w:pPr>
        <w:pStyle w:val="Heading1"/>
        <w:spacing w:after="160" w:before="320"/>
      </w:pPr>
      <w:r>
        <w:t xml:space="preserve">2. Background &amp; Problem Statement</w:t>
      </w:r>
    </w:p>
    <w:p>
      <w:pPr>
        <w:spacing w:after="160"/>
      </w:pPr>
      <w:r>
        <w:t xml:space="preserve">For a distributor like Nassau Candy, sales volume is a misleading proxy for business health. Some products sell in high volume but generate thin margins; others consume disproportionate cost to manufacture or source relative to the revenue they bring in; and some products appear successful on a sales report while quietly weakening the company's overall margin structure.</w:t>
      </w:r>
    </w:p>
    <w:p>
      <w:pPr>
        <w:spacing w:after="160"/>
      </w:pPr>
      <w:r>
        <w:t xml:space="preserve">Prior to this analysis, the organization lacked visibility into: which product lines deliver the highest gross margin; whether high-sales products are actually profitable; how profitability varies across the Chocolate, Sugar, and Other product divisions; and which specific products represent a margin risk. Without this insight, pricing, promotion, and product-portfolio decisions have necessarily been reactive and intuition-driven rather than data-driven.</w:t>
      </w:r>
    </w:p>
    <w:p>
      <w:pPr>
        <w:pStyle w:val="Heading1"/>
        <w:spacing w:after="160" w:before="320"/>
      </w:pPr>
      <w:r>
        <w:t xml:space="preserve">3. Data &amp; Methodology</w:t>
      </w:r>
    </w:p>
    <w:p>
      <w:pPr>
        <w:pStyle w:val="Heading2"/>
        <w:spacing w:after="120" w:before="240"/>
      </w:pPr>
      <w:r>
        <w:t xml:space="preserve">3.1 Dataset</w:t>
      </w:r>
    </w:p>
    <w:p>
      <w:pPr>
        <w:spacing w:after="160"/>
      </w:pPr>
      <w:r>
        <w:t xml:space="preserve">The source dataset contains 10,194 order-line records with 18 fields, including order and ship dates, customer geography (country, city, state/province, postal code), product division and region, product identifiers and names, and the financial fields Sales, Units, Gross Profit, and Cost. It was supplemented with a five-factory sourcing map (geographic coordinates) and a product-to-factory correlation table supplied by Nassau Candy.</w:t>
      </w:r>
    </w:p>
    <w:p>
      <w:pPr>
        <w:pStyle w:val="Heading2"/>
        <w:spacing w:after="120" w:before="240"/>
      </w:pPr>
      <w:r>
        <w:t xml:space="preserve">3.2 Data Cleaning &amp; Validation</w:t>
      </w:r>
    </w:p>
    <w:p>
      <w:pPr>
        <w:pStyle w:val="ListParagraph"/>
        <w:numPr>
          <w:ilvl w:val="0"/>
          <w:numId w:val="1"/>
        </w:numPr>
        <w:spacing w:after="80"/>
      </w:pPr>
      <w:r>
        <w:t xml:space="preserve">Standardized text fields (Division, Region, Product Name, Ship Mode, geography) — trimmed whitespace and normalized inconsistent spacing/punctuation in product names (e.g. “Wonka Bar -Scrumdiddlyumptious” → “Wonka Bar - Scrumdiddlyumptious”).</w:t>
      </w:r>
    </w:p>
    <w:p>
      <w:pPr>
        <w:pStyle w:val="ListParagraph"/>
        <w:numPr>
          <w:ilvl w:val="0"/>
          <w:numId w:val="1"/>
        </w:numPr>
        <w:spacing w:after="80"/>
      </w:pPr>
      <w:r>
        <w:t xml:space="preserve">Removed 14 fully duplicated order rows (identical values across every field).</w:t>
      </w:r>
    </w:p>
    <w:p>
      <w:pPr>
        <w:pStyle w:val="ListParagraph"/>
        <w:numPr>
          <w:ilvl w:val="0"/>
          <w:numId w:val="1"/>
        </w:numPr>
        <w:spacing w:after="80"/>
      </w:pPr>
      <w:r>
        <w:t xml:space="preserve">Regenerated Row ID as a clean sequential key, since the source Row ID field was not reliably unique (one value was reused 449 times).</w:t>
      </w:r>
    </w:p>
    <w:p>
      <w:pPr>
        <w:pStyle w:val="ListParagraph"/>
        <w:numPr>
          <w:ilvl w:val="0"/>
          <w:numId w:val="1"/>
        </w:numPr>
        <w:spacing w:after="80"/>
      </w:pPr>
      <w:r>
        <w:t xml:space="preserve">Validated Sales, Cost, Units, and Gross Profit as numeric; the dataset contained no non-numeric, zero, or negative values in these fields after de-duplication, so no rows were dropped on that basis.</w:t>
      </w:r>
    </w:p>
    <w:p>
      <w:pPr>
        <w:pStyle w:val="ListParagraph"/>
        <w:numPr>
          <w:ilvl w:val="0"/>
          <w:numId w:val="1"/>
        </w:numPr>
        <w:spacing w:after="80"/>
      </w:pPr>
      <w:r>
        <w:t xml:space="preserve">Reconciled Gross Profit against Sales − Cost for every row; all rows already reconciled within $0.02, confirming financial-field integrity.</w:t>
      </w:r>
    </w:p>
    <w:p>
      <w:pPr>
        <w:pStyle w:val="ListParagraph"/>
        <w:numPr>
          <w:ilvl w:val="0"/>
          <w:numId w:val="1"/>
        </w:numPr>
        <w:spacing w:after="80"/>
      </w:pPr>
      <w:r>
        <w:t xml:space="preserve">Parsed Order Date and Ship Date from two co-mingled formats present in the source file (“M/D/YYYY” and “DD-MM-YYYY”); both were interpreted as day-first, consistent with the unambiguous dash-formatted rows (which contain day values above 12).</w:t>
      </w:r>
    </w:p>
    <w:p>
      <w:pPr>
        <w:pStyle w:val="ListParagraph"/>
        <w:numPr>
          <w:ilvl w:val="0"/>
          <w:numId w:val="1"/>
        </w:numPr>
        <w:spacing w:after="80"/>
      </w:pPr>
      <w:r>
        <w:t xml:space="preserve">Mapped every product to its sourcing factory and factory coordinates using the supplied product–factory correlation table.</w:t>
      </w:r>
    </w:p>
    <w:p>
      <w:pPr>
        <w:spacing w:after="160"/>
      </w:pPr>
      <w:r>
        <w:rPr>
          <w:i/>
          <w:iCs/>
          <w:sz w:val="20"/>
          <w:szCs w:val="20"/>
        </w:rPr>
        <w:t xml:space="preserve">Net effect: 10,180 of 10,194 original rows (99.86%) were retained for analysis. One data-quality anomaly was identified but deliberately not “fixed”: recorded Ship Date values fall 2.5 to 4.5 years after the corresponding Order Date, which is not operationally plausible and is almost certainly a data-generation artifact. Because this project's scope is profitability and margin analysis (not delivery lead time), Ship Date was retained in the dataset for completeness but excluded from every KPI and chart in this report.</w:t>
      </w:r>
    </w:p>
    <w:p>
      <w:pPr>
        <w:pStyle w:val="Heading2"/>
        <w:spacing w:after="120" w:before="240"/>
      </w:pPr>
      <w:r>
        <w:t xml:space="preserve">3.3 Key Performance Indicators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5B3A29" w:val="clear"/>
            <w:tcMar>
              <w:top w:type="dxa" w:w="60"/>
              <w:left w:type="dxa" w:w="100"/>
              <w:bottom w:type="dxa" w:w="60"/>
              <w:right w:type="dxa" w:w="100"/>
            </w:tcMar>
          </w:tcPr>
          <w:p>
            <w:pPr>
              <w:jc w:val="left"/>
            </w:pPr>
            <w:r>
              <w:rPr>
                <w:b/>
                <w:bCs/>
                <w:color w:val="FFFFFF"/>
              </w:rPr>
              <w:t xml:space="preserve">KPI</w:t>
            </w:r>
          </w:p>
        </w:tc>
        <w:tc>
          <w:tcPr>
            <w:tcW w:type="dxa" w:w="6200"/>
            <w:shd w:fill="5B3A29" w:val="clear"/>
            <w:tcMar>
              <w:top w:type="dxa" w:w="60"/>
              <w:left w:type="dxa" w:w="100"/>
              <w:bottom w:type="dxa" w:w="60"/>
              <w:right w:type="dxa" w:w="100"/>
            </w:tcMar>
          </w:tcPr>
          <w:p>
            <w:pPr>
              <w:jc w:val="left"/>
            </w:pPr>
            <w:r>
              <w:rPr>
                <w:b/>
                <w:bCs/>
                <w:color w:val="FFFFFF"/>
              </w:rPr>
              <w:t xml:space="preserve">Definition</w:t>
            </w:r>
          </w:p>
        </w:tc>
      </w:tr>
      <w:tr>
        <w:tc>
          <w:tcPr>
            <w:tcW w:type="dxa" w:w="3200"/>
            <w:shd w:fill="F7F1E8" w:val="clear"/>
            <w:tcMar>
              <w:top w:type="dxa" w:w="60"/>
              <w:left w:type="dxa" w:w="100"/>
              <w:bottom w:type="dxa" w:w="60"/>
              <w:right w:type="dxa" w:w="100"/>
            </w:tcMar>
          </w:tcPr>
          <w:p>
            <w:pPr>
              <w:jc w:val="left"/>
            </w:pPr>
            <w:r>
              <w:rPr>
                <w:b w:val="false"/>
                <w:bCs w:val="false"/>
                <w:color w:val="000000"/>
              </w:rPr>
              <w:t xml:space="preserve">Gross Margin (%)</w:t>
            </w:r>
          </w:p>
        </w:tc>
        <w:tc>
          <w:tcPr>
            <w:tcW w:type="dxa" w:w="6200"/>
            <w:shd w:fill="F7F1E8" w:val="clear"/>
            <w:tcMar>
              <w:top w:type="dxa" w:w="60"/>
              <w:left w:type="dxa" w:w="100"/>
              <w:bottom w:type="dxa" w:w="60"/>
              <w:right w:type="dxa" w:w="100"/>
            </w:tcMar>
          </w:tcPr>
          <w:p>
            <w:pPr>
              <w:jc w:val="left"/>
            </w:pPr>
            <w:r>
              <w:rPr>
                <w:b w:val="false"/>
                <w:bCs w:val="false"/>
                <w:color w:val="000000"/>
              </w:rPr>
              <w:t xml:space="preserve">Gross Profit ÷ Sales</w:t>
            </w:r>
          </w:p>
        </w:tc>
      </w:tr>
      <w:tr>
        <w:tc>
          <w:tcPr>
            <w:tcW w:type="dxa" w:w="3200"/>
            <w:shd w:fill="FFFFFF" w:val="clear"/>
            <w:tcMar>
              <w:top w:type="dxa" w:w="60"/>
              <w:left w:type="dxa" w:w="100"/>
              <w:bottom w:type="dxa" w:w="60"/>
              <w:right w:type="dxa" w:w="100"/>
            </w:tcMar>
          </w:tcPr>
          <w:p>
            <w:pPr>
              <w:jc w:val="left"/>
            </w:pPr>
            <w:r>
              <w:rPr>
                <w:b w:val="false"/>
                <w:bCs w:val="false"/>
                <w:color w:val="000000"/>
              </w:rPr>
              <w:t xml:space="preserve">Profit per Unit</w:t>
            </w:r>
          </w:p>
        </w:tc>
        <w:tc>
          <w:tcPr>
            <w:tcW w:type="dxa" w:w="6200"/>
            <w:shd w:fill="FFFFFF" w:val="clear"/>
            <w:tcMar>
              <w:top w:type="dxa" w:w="60"/>
              <w:left w:type="dxa" w:w="100"/>
              <w:bottom w:type="dxa" w:w="60"/>
              <w:right w:type="dxa" w:w="100"/>
            </w:tcMar>
          </w:tcPr>
          <w:p>
            <w:pPr>
              <w:jc w:val="left"/>
            </w:pPr>
            <w:r>
              <w:rPr>
                <w:b w:val="false"/>
                <w:bCs w:val="false"/>
                <w:color w:val="000000"/>
              </w:rPr>
              <w:t xml:space="preserve">Gross Profit ÷ Units</w:t>
            </w:r>
          </w:p>
        </w:tc>
      </w:tr>
      <w:tr>
        <w:tc>
          <w:tcPr>
            <w:tcW w:type="dxa" w:w="3200"/>
            <w:shd w:fill="F7F1E8" w:val="clear"/>
            <w:tcMar>
              <w:top w:type="dxa" w:w="60"/>
              <w:left w:type="dxa" w:w="100"/>
              <w:bottom w:type="dxa" w:w="60"/>
              <w:right w:type="dxa" w:w="100"/>
            </w:tcMar>
          </w:tcPr>
          <w:p>
            <w:pPr>
              <w:jc w:val="left"/>
            </w:pPr>
            <w:r>
              <w:rPr>
                <w:b w:val="false"/>
                <w:bCs w:val="false"/>
                <w:color w:val="000000"/>
              </w:rPr>
              <w:t xml:space="preserve">Revenue Contribution</w:t>
            </w:r>
          </w:p>
        </w:tc>
        <w:tc>
          <w:tcPr>
            <w:tcW w:type="dxa" w:w="6200"/>
            <w:shd w:fill="F7F1E8" w:val="clear"/>
            <w:tcMar>
              <w:top w:type="dxa" w:w="60"/>
              <w:left w:type="dxa" w:w="100"/>
              <w:bottom w:type="dxa" w:w="60"/>
              <w:right w:type="dxa" w:w="100"/>
            </w:tcMar>
          </w:tcPr>
          <w:p>
            <w:pPr>
              <w:jc w:val="left"/>
            </w:pPr>
            <w:r>
              <w:rPr>
                <w:b w:val="false"/>
                <w:bCs w:val="false"/>
                <w:color w:val="000000"/>
              </w:rPr>
              <w:t xml:space="preserve">Product Sales ÷ Total Sales</w:t>
            </w:r>
          </w:p>
        </w:tc>
      </w:tr>
      <w:tr>
        <w:tc>
          <w:tcPr>
            <w:tcW w:type="dxa" w:w="3200"/>
            <w:shd w:fill="FFFFFF" w:val="clear"/>
            <w:tcMar>
              <w:top w:type="dxa" w:w="60"/>
              <w:left w:type="dxa" w:w="100"/>
              <w:bottom w:type="dxa" w:w="60"/>
              <w:right w:type="dxa" w:w="100"/>
            </w:tcMar>
          </w:tcPr>
          <w:p>
            <w:pPr>
              <w:jc w:val="left"/>
            </w:pPr>
            <w:r>
              <w:rPr>
                <w:b w:val="false"/>
                <w:bCs w:val="false"/>
                <w:color w:val="000000"/>
              </w:rPr>
              <w:t xml:space="preserve">Profit Contribution</w:t>
            </w:r>
          </w:p>
        </w:tc>
        <w:tc>
          <w:tcPr>
            <w:tcW w:type="dxa" w:w="6200"/>
            <w:shd w:fill="FFFFFF" w:val="clear"/>
            <w:tcMar>
              <w:top w:type="dxa" w:w="60"/>
              <w:left w:type="dxa" w:w="100"/>
              <w:bottom w:type="dxa" w:w="60"/>
              <w:right w:type="dxa" w:w="100"/>
            </w:tcMar>
          </w:tcPr>
          <w:p>
            <w:pPr>
              <w:jc w:val="left"/>
            </w:pPr>
            <w:r>
              <w:rPr>
                <w:b w:val="false"/>
                <w:bCs w:val="false"/>
                <w:color w:val="000000"/>
              </w:rPr>
              <w:t xml:space="preserve">Product Gross Profit ÷ Total Gross Profit</w:t>
            </w:r>
          </w:p>
        </w:tc>
      </w:tr>
      <w:tr>
        <w:tc>
          <w:tcPr>
            <w:tcW w:type="dxa" w:w="3200"/>
            <w:shd w:fill="F7F1E8" w:val="clear"/>
            <w:tcMar>
              <w:top w:type="dxa" w:w="60"/>
              <w:left w:type="dxa" w:w="100"/>
              <w:bottom w:type="dxa" w:w="60"/>
              <w:right w:type="dxa" w:w="100"/>
            </w:tcMar>
          </w:tcPr>
          <w:p>
            <w:pPr>
              <w:jc w:val="left"/>
            </w:pPr>
            <w:r>
              <w:rPr>
                <w:b w:val="false"/>
                <w:bCs w:val="false"/>
                <w:color w:val="000000"/>
              </w:rPr>
              <w:t xml:space="preserve">Margin Volatility</w:t>
            </w:r>
          </w:p>
        </w:tc>
        <w:tc>
          <w:tcPr>
            <w:tcW w:type="dxa" w:w="6200"/>
            <w:shd w:fill="F7F1E8" w:val="clear"/>
            <w:tcMar>
              <w:top w:type="dxa" w:w="60"/>
              <w:left w:type="dxa" w:w="100"/>
              <w:bottom w:type="dxa" w:w="60"/>
              <w:right w:type="dxa" w:w="100"/>
            </w:tcMar>
          </w:tcPr>
          <w:p>
            <w:pPr>
              <w:jc w:val="left"/>
            </w:pPr>
            <w:r>
              <w:rPr>
                <w:b w:val="false"/>
                <w:bCs w:val="false"/>
                <w:color w:val="000000"/>
              </w:rPr>
              <w:t xml:space="preserve">Standard deviation of a product's monthly gross margin % over the analysis period</w:t>
            </w:r>
          </w:p>
        </w:tc>
      </w:tr>
      <w:tr>
        <w:tc>
          <w:tcPr>
            <w:tcW w:type="dxa" w:w="3200"/>
            <w:shd w:fill="FFFFFF" w:val="clear"/>
            <w:tcMar>
              <w:top w:type="dxa" w:w="60"/>
              <w:left w:type="dxa" w:w="100"/>
              <w:bottom w:type="dxa" w:w="60"/>
              <w:right w:type="dxa" w:w="100"/>
            </w:tcMar>
          </w:tcPr>
          <w:p>
            <w:pPr>
              <w:jc w:val="left"/>
            </w:pPr>
            <w:r>
              <w:rPr>
                <w:b w:val="false"/>
                <w:bCs w:val="false"/>
                <w:color w:val="000000"/>
              </w:rPr>
              <w:t xml:space="preserve">Cost-to-Sales Ratio</w:t>
            </w:r>
          </w:p>
        </w:tc>
        <w:tc>
          <w:tcPr>
            <w:tcW w:type="dxa" w:w="6200"/>
            <w:shd w:fill="FFFFFF" w:val="clear"/>
            <w:tcMar>
              <w:top w:type="dxa" w:w="60"/>
              <w:left w:type="dxa" w:w="100"/>
              <w:bottom w:type="dxa" w:w="60"/>
              <w:right w:type="dxa" w:w="100"/>
            </w:tcMar>
          </w:tcPr>
          <w:p>
            <w:pPr>
              <w:jc w:val="left"/>
            </w:pPr>
            <w:r>
              <w:rPr>
                <w:b w:val="false"/>
                <w:bCs w:val="false"/>
                <w:color w:val="000000"/>
              </w:rPr>
              <w:t xml:space="preserve">Cost ÷ Sales (used for cost-risk flagging)</w:t>
            </w:r>
          </w:p>
        </w:tc>
      </w:tr>
    </w:tbl>
    <w:p>
      <w:pPr>
        <w:pStyle w:val="Heading1"/>
        <w:spacing w:after="160" w:before="320"/>
      </w:pPr>
      <w:r>
        <w:t xml:space="preserve">4. Product-Level Profitability Analysis</w:t>
      </w:r>
    </w:p>
    <w:p>
      <w:pPr>
        <w:spacing w:after="160"/>
      </w:pPr>
      <w:r>
        <w:t xml:space="preserve">Products were ranked by total gross profit and by gross margin, then classified into four quadrants using the median product-level Sales and median Gross Margin % as split points: Stars (high sales, high margin), Volume Traps (high sales, low margin), Niche (low sales, high margin), and Laggards (low sales, low margin).</w:t>
      </w:r>
    </w:p>
    <w:p>
      <w:pPr>
        <w:spacing w:after="60" w:before="120"/>
        <w:jc w:val="center"/>
      </w:pPr>
      <w:r>
        <w:drawing>
          <wp:inline distT="0" distB="0" distL="0" distR="0">
            <wp:extent cx="5334000" cy="355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6000"/>
                    </a:xfrm>
                    <a:prstGeom prst="rect">
                      <a:avLst/>
                    </a:prstGeom>
                  </pic:spPr>
                </pic:pic>
              </a:graphicData>
            </a:graphic>
          </wp:inline>
        </w:drawing>
      </w:r>
    </w:p>
    <w:p>
      <w:pPr>
        <w:spacing w:after="240"/>
        <w:jc w:val="center"/>
      </w:pPr>
      <w:r>
        <w:rPr>
          <w:i/>
          <w:iCs/>
          <w:color w:val="6b5d52"/>
          <w:sz w:val="18"/>
          <w:szCs w:val="18"/>
        </w:rPr>
        <w:t xml:space="preserve">Figure 1. Gross margin by product, ranked lowest to highest. Dashed line marks the median product margin (60.0%).</w:t>
      </w:r>
    </w:p>
    <w:p>
      <w:pPr>
        <w:spacing w:after="60" w:before="120"/>
        <w:jc w:val="center"/>
      </w:pPr>
      <w:r>
        <w:drawing>
          <wp:inline distT="0" distB="0" distL="0" distR="0">
            <wp:extent cx="5334000" cy="3852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52333"/>
                    </a:xfrm>
                    <a:prstGeom prst="rect">
                      <a:avLst/>
                    </a:prstGeom>
                  </pic:spPr>
                </pic:pic>
              </a:graphicData>
            </a:graphic>
          </wp:inline>
        </w:drawing>
      </w:r>
    </w:p>
    <w:p>
      <w:pPr>
        <w:spacing w:after="240"/>
        <w:jc w:val="center"/>
      </w:pPr>
      <w:r>
        <w:rPr>
          <w:i/>
          <w:iCs/>
          <w:color w:val="6b5d52"/>
          <w:sz w:val="18"/>
          <w:szCs w:val="18"/>
        </w:rPr>
        <w:t xml:space="preserve">Figure 2. Sales-vs-Margin quadrant map. Bubble size = total gross profit.</w:t>
      </w:r>
    </w:p>
    <w:p>
      <w:pPr>
        <w:pStyle w:val="Heading2"/>
        <w:spacing w:after="120" w:before="240"/>
      </w:pPr>
      <w:r>
        <w:t xml:space="preserve">4.1 High-Profit / High-Margin Products (Stars)</w:t>
      </w:r>
    </w:p>
    <w:p>
      <w:pPr>
        <w:spacing w:after="160"/>
      </w:pPr>
      <w:r>
        <w:t xml:space="preserve">All five Chocolate-division Wonka Bar products land in the Star quadrant, each contributing between 16.6% and 20.1% of total revenue and between 17.8% and 20.7% of total gross profit, at margins between 64.9% and 71.3%:</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1400"/>
        <w:gridCol w:w="2000"/>
      </w:tblGrid>
      <w:tr>
        <w:trPr>
          <w:tblHeader/>
        </w:trPr>
        <w:tc>
          <w:tcPr>
            <w:tcW w:type="dxa" w:w="3600"/>
            <w:shd w:fill="5B3A29" w:val="clear"/>
            <w:tcMar>
              <w:top w:type="dxa" w:w="60"/>
              <w:left w:type="dxa" w:w="100"/>
              <w:bottom w:type="dxa" w:w="60"/>
              <w:right w:type="dxa" w:w="100"/>
            </w:tcMar>
          </w:tcPr>
          <w:p>
            <w:pPr>
              <w:jc w:val="left"/>
            </w:pPr>
            <w:r>
              <w:rPr>
                <w:b/>
                <w:bCs/>
                <w:color w:val="FFFFFF"/>
              </w:rPr>
              <w:t xml:space="preserve">Product</w:t>
            </w:r>
          </w:p>
        </w:tc>
        <w:tc>
          <w:tcPr>
            <w:tcW w:type="dxa" w:w="1700"/>
            <w:shd w:fill="5B3A29" w:val="clear"/>
            <w:tcMar>
              <w:top w:type="dxa" w:w="60"/>
              <w:left w:type="dxa" w:w="100"/>
              <w:bottom w:type="dxa" w:w="60"/>
              <w:right w:type="dxa" w:w="100"/>
            </w:tcMar>
          </w:tcPr>
          <w:p>
            <w:pPr>
              <w:jc w:val="left"/>
            </w:pPr>
            <w:r>
              <w:rPr>
                <w:b/>
                <w:bCs/>
                <w:color w:val="FFFFFF"/>
              </w:rPr>
              <w:t xml:space="preserve">Sales</w:t>
            </w:r>
          </w:p>
        </w:tc>
        <w:tc>
          <w:tcPr>
            <w:tcW w:type="dxa" w:w="1700"/>
            <w:shd w:fill="5B3A29" w:val="clear"/>
            <w:tcMar>
              <w:top w:type="dxa" w:w="60"/>
              <w:left w:type="dxa" w:w="100"/>
              <w:bottom w:type="dxa" w:w="60"/>
              <w:right w:type="dxa" w:w="100"/>
            </w:tcMar>
          </w:tcPr>
          <w:p>
            <w:pPr>
              <w:jc w:val="left"/>
            </w:pPr>
            <w:r>
              <w:rPr>
                <w:b/>
                <w:bCs/>
                <w:color w:val="FFFFFF"/>
              </w:rPr>
              <w:t xml:space="preserve">Gross Profit</w:t>
            </w:r>
          </w:p>
        </w:tc>
        <w:tc>
          <w:tcPr>
            <w:tcW w:type="dxa" w:w="1400"/>
            <w:shd w:fill="5B3A29" w:val="clear"/>
            <w:tcMar>
              <w:top w:type="dxa" w:w="60"/>
              <w:left w:type="dxa" w:w="100"/>
              <w:bottom w:type="dxa" w:w="60"/>
              <w:right w:type="dxa" w:w="100"/>
            </w:tcMar>
          </w:tcPr>
          <w:p>
            <w:pPr>
              <w:jc w:val="left"/>
            </w:pPr>
            <w:r>
              <w:rPr>
                <w:b/>
                <w:bCs/>
                <w:color w:val="FFFFFF"/>
              </w:rPr>
              <w:t xml:space="preserve">Margin %</w:t>
            </w:r>
          </w:p>
        </w:tc>
        <w:tc>
          <w:tcPr>
            <w:tcW w:type="dxa" w:w="2000"/>
            <w:shd w:fill="5B3A29" w:val="clear"/>
            <w:tcMar>
              <w:top w:type="dxa" w:w="60"/>
              <w:left w:type="dxa" w:w="100"/>
              <w:bottom w:type="dxa" w:w="60"/>
              <w:right w:type="dxa" w:w="100"/>
            </w:tcMar>
          </w:tcPr>
          <w:p>
            <w:pPr>
              <w:jc w:val="left"/>
            </w:pPr>
            <w:r>
              <w:rPr>
                <w:b/>
                <w:bCs/>
                <w:color w:val="FFFFFF"/>
              </w:rPr>
              <w:t xml:space="preserve">Profit Contribution %</w:t>
            </w:r>
          </w:p>
        </w:tc>
      </w:tr>
      <w:tr>
        <w:tc>
          <w:tcPr>
            <w:tcW w:type="dxa" w:w="3600"/>
            <w:shd w:fill="F7F1E8" w:val="clear"/>
            <w:tcMar>
              <w:top w:type="dxa" w:w="60"/>
              <w:left w:type="dxa" w:w="100"/>
              <w:bottom w:type="dxa" w:w="60"/>
              <w:right w:type="dxa" w:w="100"/>
            </w:tcMar>
          </w:tcPr>
          <w:p>
            <w:pPr>
              <w:jc w:val="left"/>
            </w:pPr>
            <w:r>
              <w:rPr>
                <w:b w:val="false"/>
                <w:bCs w:val="false"/>
                <w:color w:val="000000"/>
              </w:rPr>
              <w:t xml:space="preserve">Wonka Bar - Triple Dazzle Caramel</w:t>
            </w:r>
          </w:p>
        </w:tc>
        <w:tc>
          <w:tcPr>
            <w:tcW w:type="dxa" w:w="1700"/>
            <w:shd w:fill="F7F1E8" w:val="clear"/>
            <w:tcMar>
              <w:top w:type="dxa" w:w="60"/>
              <w:left w:type="dxa" w:w="100"/>
              <w:bottom w:type="dxa" w:w="60"/>
              <w:right w:type="dxa" w:w="100"/>
            </w:tcMar>
          </w:tcPr>
          <w:p>
            <w:pPr>
              <w:jc w:val="left"/>
            </w:pPr>
            <w:r>
              <w:rPr>
                <w:b w:val="false"/>
                <w:bCs w:val="false"/>
                <w:color w:val="000000"/>
              </w:rPr>
              <w:t xml:space="preserve">$28,462.50</w:t>
            </w:r>
          </w:p>
        </w:tc>
        <w:tc>
          <w:tcPr>
            <w:tcW w:type="dxa" w:w="1700"/>
            <w:shd w:fill="F7F1E8" w:val="clear"/>
            <w:tcMar>
              <w:top w:type="dxa" w:w="60"/>
              <w:left w:type="dxa" w:w="100"/>
              <w:bottom w:type="dxa" w:w="60"/>
              <w:right w:type="dxa" w:w="100"/>
            </w:tcMar>
          </w:tcPr>
          <w:p>
            <w:pPr>
              <w:jc w:val="left"/>
            </w:pPr>
            <w:r>
              <w:rPr>
                <w:b w:val="false"/>
                <w:bCs w:val="false"/>
                <w:color w:val="000000"/>
              </w:rPr>
              <w:t xml:space="preserve">$18,595.50</w:t>
            </w:r>
          </w:p>
        </w:tc>
        <w:tc>
          <w:tcPr>
            <w:tcW w:type="dxa" w:w="1400"/>
            <w:shd w:fill="F7F1E8" w:val="clear"/>
            <w:tcMar>
              <w:top w:type="dxa" w:w="60"/>
              <w:left w:type="dxa" w:w="100"/>
              <w:bottom w:type="dxa" w:w="60"/>
              <w:right w:type="dxa" w:w="100"/>
            </w:tcMar>
          </w:tcPr>
          <w:p>
            <w:pPr>
              <w:jc w:val="left"/>
            </w:pPr>
            <w:r>
              <w:rPr>
                <w:b w:val="false"/>
                <w:bCs w:val="false"/>
                <w:color w:val="000000"/>
              </w:rPr>
              <w:t xml:space="preserve">65.3%</w:t>
            </w:r>
          </w:p>
        </w:tc>
        <w:tc>
          <w:tcPr>
            <w:tcW w:type="dxa" w:w="2000"/>
            <w:shd w:fill="F7F1E8" w:val="clear"/>
            <w:tcMar>
              <w:top w:type="dxa" w:w="60"/>
              <w:left w:type="dxa" w:w="100"/>
              <w:bottom w:type="dxa" w:w="60"/>
              <w:right w:type="dxa" w:w="100"/>
            </w:tcMar>
          </w:tcPr>
          <w:p>
            <w:pPr>
              <w:jc w:val="left"/>
            </w:pPr>
            <w:r>
              <w:rPr>
                <w:b w:val="false"/>
                <w:bCs w:val="false"/>
                <w:color w:val="000000"/>
              </w:rPr>
              <w:t xml:space="preserve">19.9%</w:t>
            </w:r>
          </w:p>
        </w:tc>
      </w:tr>
      <w:tr>
        <w:tc>
          <w:tcPr>
            <w:tcW w:type="dxa" w:w="3600"/>
            <w:shd w:fill="FFFFFF" w:val="clear"/>
            <w:tcMar>
              <w:top w:type="dxa" w:w="60"/>
              <w:left w:type="dxa" w:w="100"/>
              <w:bottom w:type="dxa" w:w="60"/>
              <w:right w:type="dxa" w:w="100"/>
            </w:tcMar>
          </w:tcPr>
          <w:p>
            <w:pPr>
              <w:jc w:val="left"/>
            </w:pPr>
            <w:r>
              <w:rPr>
                <w:b w:val="false"/>
                <w:bCs w:val="false"/>
                <w:color w:val="000000"/>
              </w:rPr>
              <w:t xml:space="preserve">Wonka Bar - Scrumdiddlyumptious</w:t>
            </w:r>
          </w:p>
        </w:tc>
        <w:tc>
          <w:tcPr>
            <w:tcW w:type="dxa" w:w="1700"/>
            <w:shd w:fill="FFFFFF" w:val="clear"/>
            <w:tcMar>
              <w:top w:type="dxa" w:w="60"/>
              <w:left w:type="dxa" w:w="100"/>
              <w:bottom w:type="dxa" w:w="60"/>
              <w:right w:type="dxa" w:w="100"/>
            </w:tcMar>
          </w:tcPr>
          <w:p>
            <w:pPr>
              <w:jc w:val="left"/>
            </w:pPr>
            <w:r>
              <w:rPr>
                <w:b w:val="false"/>
                <w:bCs w:val="false"/>
                <w:color w:val="000000"/>
              </w:rPr>
              <w:t xml:space="preserve">$27,853.20</w:t>
            </w:r>
          </w:p>
        </w:tc>
        <w:tc>
          <w:tcPr>
            <w:tcW w:type="dxa" w:w="1700"/>
            <w:shd w:fill="FFFFFF" w:val="clear"/>
            <w:tcMar>
              <w:top w:type="dxa" w:w="60"/>
              <w:left w:type="dxa" w:w="100"/>
              <w:bottom w:type="dxa" w:w="60"/>
              <w:right w:type="dxa" w:w="100"/>
            </w:tcMar>
          </w:tcPr>
          <w:p>
            <w:pPr>
              <w:jc w:val="left"/>
            </w:pPr>
            <w:r>
              <w:rPr>
                <w:b w:val="false"/>
                <w:bCs w:val="false"/>
                <w:color w:val="000000"/>
              </w:rPr>
              <w:t xml:space="preserve">$19,342.50</w:t>
            </w:r>
          </w:p>
        </w:tc>
        <w:tc>
          <w:tcPr>
            <w:tcW w:type="dxa" w:w="1400"/>
            <w:shd w:fill="FFFFFF" w:val="clear"/>
            <w:tcMar>
              <w:top w:type="dxa" w:w="60"/>
              <w:left w:type="dxa" w:w="100"/>
              <w:bottom w:type="dxa" w:w="60"/>
              <w:right w:type="dxa" w:w="100"/>
            </w:tcMar>
          </w:tcPr>
          <w:p>
            <w:pPr>
              <w:jc w:val="left"/>
            </w:pPr>
            <w:r>
              <w:rPr>
                <w:b w:val="false"/>
                <w:bCs w:val="false"/>
                <w:color w:val="000000"/>
              </w:rPr>
              <w:t xml:space="preserve">69.4%</w:t>
            </w:r>
          </w:p>
        </w:tc>
        <w:tc>
          <w:tcPr>
            <w:tcW w:type="dxa" w:w="2000"/>
            <w:shd w:fill="FFFFFF" w:val="clear"/>
            <w:tcMar>
              <w:top w:type="dxa" w:w="60"/>
              <w:left w:type="dxa" w:w="100"/>
              <w:bottom w:type="dxa" w:w="60"/>
              <w:right w:type="dxa" w:w="100"/>
            </w:tcMar>
          </w:tcPr>
          <w:p>
            <w:pPr>
              <w:jc w:val="left"/>
            </w:pPr>
            <w:r>
              <w:rPr>
                <w:b w:val="false"/>
                <w:bCs w:val="false"/>
                <w:color w:val="000000"/>
              </w:rPr>
              <w:t xml:space="preserve">20.7%</w:t>
            </w:r>
          </w:p>
        </w:tc>
      </w:tr>
      <w:tr>
        <w:tc>
          <w:tcPr>
            <w:tcW w:type="dxa" w:w="3600"/>
            <w:shd w:fill="F7F1E8" w:val="clear"/>
            <w:tcMar>
              <w:top w:type="dxa" w:w="60"/>
              <w:left w:type="dxa" w:w="100"/>
              <w:bottom w:type="dxa" w:w="60"/>
              <w:right w:type="dxa" w:w="100"/>
            </w:tcMar>
          </w:tcPr>
          <w:p>
            <w:pPr>
              <w:jc w:val="left"/>
            </w:pPr>
            <w:r>
              <w:rPr>
                <w:b w:val="false"/>
                <w:bCs w:val="false"/>
                <w:color w:val="000000"/>
              </w:rPr>
              <w:t xml:space="preserve">Wonka Bar - Milk Chocolate</w:t>
            </w:r>
          </w:p>
        </w:tc>
        <w:tc>
          <w:tcPr>
            <w:tcW w:type="dxa" w:w="1700"/>
            <w:shd w:fill="F7F1E8" w:val="clear"/>
            <w:tcMar>
              <w:top w:type="dxa" w:w="60"/>
              <w:left w:type="dxa" w:w="100"/>
              <w:bottom w:type="dxa" w:w="60"/>
              <w:right w:type="dxa" w:w="100"/>
            </w:tcMar>
          </w:tcPr>
          <w:p>
            <w:pPr>
              <w:jc w:val="left"/>
            </w:pPr>
            <w:r>
              <w:rPr>
                <w:b w:val="false"/>
                <w:bCs w:val="false"/>
                <w:color w:val="000000"/>
              </w:rPr>
              <w:t xml:space="preserve">$26,809.25</w:t>
            </w:r>
          </w:p>
        </w:tc>
        <w:tc>
          <w:tcPr>
            <w:tcW w:type="dxa" w:w="1700"/>
            <w:shd w:fill="F7F1E8" w:val="clear"/>
            <w:tcMar>
              <w:top w:type="dxa" w:w="60"/>
              <w:left w:type="dxa" w:w="100"/>
              <w:bottom w:type="dxa" w:w="60"/>
              <w:right w:type="dxa" w:w="100"/>
            </w:tcMar>
          </w:tcPr>
          <w:p>
            <w:pPr>
              <w:jc w:val="left"/>
            </w:pPr>
            <w:r>
              <w:rPr>
                <w:b w:val="false"/>
                <w:bCs w:val="false"/>
                <w:color w:val="000000"/>
              </w:rPr>
              <w:t xml:space="preserve">$17,405.39</w:t>
            </w:r>
          </w:p>
        </w:tc>
        <w:tc>
          <w:tcPr>
            <w:tcW w:type="dxa" w:w="1400"/>
            <w:shd w:fill="F7F1E8" w:val="clear"/>
            <w:tcMar>
              <w:top w:type="dxa" w:w="60"/>
              <w:left w:type="dxa" w:w="100"/>
              <w:bottom w:type="dxa" w:w="60"/>
              <w:right w:type="dxa" w:w="100"/>
            </w:tcMar>
          </w:tcPr>
          <w:p>
            <w:pPr>
              <w:jc w:val="left"/>
            </w:pPr>
            <w:r>
              <w:rPr>
                <w:b w:val="false"/>
                <w:bCs w:val="false"/>
                <w:color w:val="000000"/>
              </w:rPr>
              <w:t xml:space="preserve">64.9%</w:t>
            </w:r>
          </w:p>
        </w:tc>
        <w:tc>
          <w:tcPr>
            <w:tcW w:type="dxa" w:w="2000"/>
            <w:shd w:fill="F7F1E8" w:val="clear"/>
            <w:tcMar>
              <w:top w:type="dxa" w:w="60"/>
              <w:left w:type="dxa" w:w="100"/>
              <w:bottom w:type="dxa" w:w="60"/>
              <w:right w:type="dxa" w:w="100"/>
            </w:tcMar>
          </w:tcPr>
          <w:p>
            <w:pPr>
              <w:jc w:val="left"/>
            </w:pPr>
            <w:r>
              <w:rPr>
                <w:b w:val="false"/>
                <w:bCs w:val="false"/>
                <w:color w:val="000000"/>
              </w:rPr>
              <w:t xml:space="preserve">18.7%</w:t>
            </w:r>
          </w:p>
        </w:tc>
      </w:tr>
      <w:tr>
        <w:tc>
          <w:tcPr>
            <w:tcW w:type="dxa" w:w="3600"/>
            <w:shd w:fill="FFFFFF" w:val="clear"/>
            <w:tcMar>
              <w:top w:type="dxa" w:w="60"/>
              <w:left w:type="dxa" w:w="100"/>
              <w:bottom w:type="dxa" w:w="60"/>
              <w:right w:type="dxa" w:w="100"/>
            </w:tcMar>
          </w:tcPr>
          <w:p>
            <w:pPr>
              <w:jc w:val="left"/>
            </w:pPr>
            <w:r>
              <w:rPr>
                <w:b w:val="false"/>
                <w:bCs w:val="false"/>
                <w:color w:val="000000"/>
              </w:rPr>
              <w:t xml:space="preserve">Wonka Bar - Nutty Crunch Surprise</w:t>
            </w:r>
          </w:p>
        </w:tc>
        <w:tc>
          <w:tcPr>
            <w:tcW w:type="dxa" w:w="1700"/>
            <w:shd w:fill="FFFFFF" w:val="clear"/>
            <w:tcMar>
              <w:top w:type="dxa" w:w="60"/>
              <w:left w:type="dxa" w:w="100"/>
              <w:bottom w:type="dxa" w:w="60"/>
              <w:right w:type="dxa" w:w="100"/>
            </w:tcMar>
          </w:tcPr>
          <w:p>
            <w:pPr>
              <w:jc w:val="left"/>
            </w:pPr>
            <w:r>
              <w:rPr>
                <w:b w:val="false"/>
                <w:bCs w:val="false"/>
                <w:color w:val="000000"/>
              </w:rPr>
              <w:t xml:space="preserve">$23,557.50</w:t>
            </w:r>
          </w:p>
        </w:tc>
        <w:tc>
          <w:tcPr>
            <w:tcW w:type="dxa" w:w="1700"/>
            <w:shd w:fill="FFFFFF" w:val="clear"/>
            <w:tcMar>
              <w:top w:type="dxa" w:w="60"/>
              <w:left w:type="dxa" w:w="100"/>
              <w:bottom w:type="dxa" w:w="60"/>
              <w:right w:type="dxa" w:w="100"/>
            </w:tcMar>
          </w:tcPr>
          <w:p>
            <w:pPr>
              <w:jc w:val="left"/>
            </w:pPr>
            <w:r>
              <w:rPr>
                <w:b w:val="false"/>
                <w:bCs w:val="false"/>
                <w:color w:val="000000"/>
              </w:rPr>
              <w:t xml:space="preserve">$16,807.50</w:t>
            </w:r>
          </w:p>
        </w:tc>
        <w:tc>
          <w:tcPr>
            <w:tcW w:type="dxa" w:w="1400"/>
            <w:shd w:fill="FFFFFF" w:val="clear"/>
            <w:tcMar>
              <w:top w:type="dxa" w:w="60"/>
              <w:left w:type="dxa" w:w="100"/>
              <w:bottom w:type="dxa" w:w="60"/>
              <w:right w:type="dxa" w:w="100"/>
            </w:tcMar>
          </w:tcPr>
          <w:p>
            <w:pPr>
              <w:jc w:val="left"/>
            </w:pPr>
            <w:r>
              <w:rPr>
                <w:b w:val="false"/>
                <w:bCs w:val="false"/>
                <w:color w:val="000000"/>
              </w:rPr>
              <w:t xml:space="preserve">71.3%</w:t>
            </w:r>
          </w:p>
        </w:tc>
        <w:tc>
          <w:tcPr>
            <w:tcW w:type="dxa" w:w="2000"/>
            <w:shd w:fill="FFFFFF" w:val="clear"/>
            <w:tcMar>
              <w:top w:type="dxa" w:w="60"/>
              <w:left w:type="dxa" w:w="100"/>
              <w:bottom w:type="dxa" w:w="60"/>
              <w:right w:type="dxa" w:w="100"/>
            </w:tcMar>
          </w:tcPr>
          <w:p>
            <w:pPr>
              <w:jc w:val="left"/>
            </w:pPr>
            <w:r>
              <w:rPr>
                <w:b w:val="false"/>
                <w:bCs w:val="false"/>
                <w:color w:val="000000"/>
              </w:rPr>
              <w:t xml:space="preserve">18.0%</w:t>
            </w:r>
          </w:p>
        </w:tc>
      </w:tr>
      <w:tr>
        <w:tc>
          <w:tcPr>
            <w:tcW w:type="dxa" w:w="3600"/>
            <w:shd w:fill="F7F1E8" w:val="clear"/>
            <w:tcMar>
              <w:top w:type="dxa" w:w="60"/>
              <w:left w:type="dxa" w:w="100"/>
              <w:bottom w:type="dxa" w:w="60"/>
              <w:right w:type="dxa" w:w="100"/>
            </w:tcMar>
          </w:tcPr>
          <w:p>
            <w:pPr>
              <w:jc w:val="left"/>
            </w:pPr>
            <w:r>
              <w:rPr>
                <w:b w:val="false"/>
                <w:bCs w:val="false"/>
                <w:color w:val="000000"/>
              </w:rPr>
              <w:t xml:space="preserve">Wonka Bar - Fudge Mallows</w:t>
            </w:r>
          </w:p>
        </w:tc>
        <w:tc>
          <w:tcPr>
            <w:tcW w:type="dxa" w:w="1700"/>
            <w:shd w:fill="F7F1E8" w:val="clear"/>
            <w:tcMar>
              <w:top w:type="dxa" w:w="60"/>
              <w:left w:type="dxa" w:w="100"/>
              <w:bottom w:type="dxa" w:w="60"/>
              <w:right w:type="dxa" w:w="100"/>
            </w:tcMar>
          </w:tcPr>
          <w:p>
            <w:pPr>
              <w:jc w:val="left"/>
            </w:pPr>
            <w:r>
              <w:rPr>
                <w:b w:val="false"/>
                <w:bCs w:val="false"/>
                <w:color w:val="000000"/>
              </w:rPr>
              <w:t xml:space="preserve">$24,872.40</w:t>
            </w:r>
          </w:p>
        </w:tc>
        <w:tc>
          <w:tcPr>
            <w:tcW w:type="dxa" w:w="1700"/>
            <w:shd w:fill="F7F1E8" w:val="clear"/>
            <w:tcMar>
              <w:top w:type="dxa" w:w="60"/>
              <w:left w:type="dxa" w:w="100"/>
              <w:bottom w:type="dxa" w:w="60"/>
              <w:right w:type="dxa" w:w="100"/>
            </w:tcMar>
          </w:tcPr>
          <w:p>
            <w:pPr>
              <w:jc w:val="left"/>
            </w:pPr>
            <w:r>
              <w:rPr>
                <w:b w:val="false"/>
                <w:bCs w:val="false"/>
                <w:color w:val="000000"/>
              </w:rPr>
              <w:t xml:space="preserve">$16,581.60</w:t>
            </w:r>
          </w:p>
        </w:tc>
        <w:tc>
          <w:tcPr>
            <w:tcW w:type="dxa" w:w="1400"/>
            <w:shd w:fill="F7F1E8" w:val="clear"/>
            <w:tcMar>
              <w:top w:type="dxa" w:w="60"/>
              <w:left w:type="dxa" w:w="100"/>
              <w:bottom w:type="dxa" w:w="60"/>
              <w:right w:type="dxa" w:w="100"/>
            </w:tcMar>
          </w:tcPr>
          <w:p>
            <w:pPr>
              <w:jc w:val="left"/>
            </w:pPr>
            <w:r>
              <w:rPr>
                <w:b w:val="false"/>
                <w:bCs w:val="false"/>
                <w:color w:val="000000"/>
              </w:rPr>
              <w:t xml:space="preserve">66.7%</w:t>
            </w:r>
          </w:p>
        </w:tc>
        <w:tc>
          <w:tcPr>
            <w:tcW w:type="dxa" w:w="2000"/>
            <w:shd w:fill="F7F1E8" w:val="clear"/>
            <w:tcMar>
              <w:top w:type="dxa" w:w="60"/>
              <w:left w:type="dxa" w:w="100"/>
              <w:bottom w:type="dxa" w:w="60"/>
              <w:right w:type="dxa" w:w="100"/>
            </w:tcMar>
          </w:tcPr>
          <w:p>
            <w:pPr>
              <w:jc w:val="left"/>
            </w:pPr>
            <w:r>
              <w:rPr>
                <w:b w:val="false"/>
                <w:bCs w:val="false"/>
                <w:color w:val="000000"/>
              </w:rPr>
              <w:t xml:space="preserve">17.8%</w:t>
            </w:r>
          </w:p>
        </w:tc>
      </w:tr>
    </w:tbl>
    <w:p>
      <w:pPr>
        <w:spacing w:after="160"/>
      </w:pPr>
      <w:r>
        <w:t xml:space="preserve">Together these five SKUs generate 92.9% of revenue and 95.1% of gross profit. This is the core product line and the clear priority for supply continuity, shelf placement, and marketing investment.</w:t>
      </w:r>
    </w:p>
    <w:p>
      <w:pPr>
        <w:pStyle w:val="Heading2"/>
        <w:spacing w:after="120" w:before="240"/>
      </w:pPr>
      <w:r>
        <w:t xml:space="preserve">4.2 High-Sales / Low-Margin Products (Volume Traps)</w:t>
      </w:r>
    </w:p>
    <w:p>
      <w:pPr>
        <w:spacing w:after="160"/>
      </w:pPr>
      <w:r>
        <w:t xml:space="preserve">Three products sell in meaningful volume but convert far less of that revenue into profit, and one is an acute outlier: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400"/>
      </w:tblGrid>
      <w:tr>
        <w:trPr>
          <w:tblHeader/>
        </w:trPr>
        <w:tc>
          <w:tcPr>
            <w:tcW w:type="dxa" w:w="2600"/>
            <w:shd w:fill="5B3A29" w:val="clear"/>
            <w:tcMar>
              <w:top w:type="dxa" w:w="60"/>
              <w:left w:type="dxa" w:w="100"/>
              <w:bottom w:type="dxa" w:w="60"/>
              <w:right w:type="dxa" w:w="100"/>
            </w:tcMar>
          </w:tcPr>
          <w:p>
            <w:pPr>
              <w:jc w:val="left"/>
            </w:pPr>
            <w:r>
              <w:rPr>
                <w:b/>
                <w:bCs/>
                <w:color w:val="FFFFFF"/>
              </w:rPr>
              <w:t xml:space="preserve">Product</w:t>
            </w:r>
          </w:p>
        </w:tc>
        <w:tc>
          <w:tcPr>
            <w:tcW w:type="dxa" w:w="1800"/>
            <w:shd w:fill="5B3A29" w:val="clear"/>
            <w:tcMar>
              <w:top w:type="dxa" w:w="60"/>
              <w:left w:type="dxa" w:w="100"/>
              <w:bottom w:type="dxa" w:w="60"/>
              <w:right w:type="dxa" w:w="100"/>
            </w:tcMar>
          </w:tcPr>
          <w:p>
            <w:pPr>
              <w:jc w:val="left"/>
            </w:pPr>
            <w:r>
              <w:rPr>
                <w:b/>
                <w:bCs/>
                <w:color w:val="FFFFFF"/>
              </w:rPr>
              <w:t xml:space="preserve">Sales</w:t>
            </w:r>
          </w:p>
        </w:tc>
        <w:tc>
          <w:tcPr>
            <w:tcW w:type="dxa" w:w="1600"/>
            <w:shd w:fill="5B3A29" w:val="clear"/>
            <w:tcMar>
              <w:top w:type="dxa" w:w="60"/>
              <w:left w:type="dxa" w:w="100"/>
              <w:bottom w:type="dxa" w:w="60"/>
              <w:right w:type="dxa" w:w="100"/>
            </w:tcMar>
          </w:tcPr>
          <w:p>
            <w:pPr>
              <w:jc w:val="left"/>
            </w:pPr>
            <w:r>
              <w:rPr>
                <w:b/>
                <w:bCs/>
                <w:color w:val="FFFFFF"/>
              </w:rPr>
              <w:t xml:space="preserve">Margin %</w:t>
            </w:r>
          </w:p>
        </w:tc>
        <w:tc>
          <w:tcPr>
            <w:tcW w:type="dxa" w:w="3400"/>
            <w:shd w:fill="5B3A29" w:val="clear"/>
            <w:tcMar>
              <w:top w:type="dxa" w:w="60"/>
              <w:left w:type="dxa" w:w="100"/>
              <w:bottom w:type="dxa" w:w="60"/>
              <w:right w:type="dxa" w:w="100"/>
            </w:tcMar>
          </w:tcPr>
          <w:p>
            <w:pPr>
              <w:jc w:val="left"/>
            </w:pPr>
            <w:r>
              <w:rPr>
                <w:b/>
                <w:bCs/>
                <w:color w:val="FFFFFF"/>
              </w:rPr>
              <w:t xml:space="preserve">Note</w:t>
            </w:r>
          </w:p>
        </w:tc>
      </w:tr>
      <w:tr>
        <w:tc>
          <w:tcPr>
            <w:tcW w:type="dxa" w:w="2600"/>
            <w:shd w:fill="F7F1E8" w:val="clear"/>
            <w:tcMar>
              <w:top w:type="dxa" w:w="60"/>
              <w:left w:type="dxa" w:w="100"/>
              <w:bottom w:type="dxa" w:w="60"/>
              <w:right w:type="dxa" w:w="100"/>
            </w:tcMar>
          </w:tcPr>
          <w:p>
            <w:pPr>
              <w:jc w:val="left"/>
            </w:pPr>
            <w:r>
              <w:rPr>
                <w:b w:val="false"/>
                <w:bCs w:val="false"/>
                <w:color w:val="000000"/>
              </w:rPr>
              <w:t xml:space="preserve">Lickable Wallpaper</w:t>
            </w:r>
          </w:p>
        </w:tc>
        <w:tc>
          <w:tcPr>
            <w:tcW w:type="dxa" w:w="1800"/>
            <w:shd w:fill="F7F1E8" w:val="clear"/>
            <w:tcMar>
              <w:top w:type="dxa" w:w="60"/>
              <w:left w:type="dxa" w:w="100"/>
              <w:bottom w:type="dxa" w:w="60"/>
              <w:right w:type="dxa" w:w="100"/>
            </w:tcMar>
          </w:tcPr>
          <w:p>
            <w:pPr>
              <w:jc w:val="left"/>
            </w:pPr>
            <w:r>
              <w:rPr>
                <w:b w:val="false"/>
                <w:bCs w:val="false"/>
                <w:color w:val="000000"/>
              </w:rPr>
              <w:t xml:space="preserve">$7,860.00</w:t>
            </w:r>
          </w:p>
        </w:tc>
        <w:tc>
          <w:tcPr>
            <w:tcW w:type="dxa" w:w="1600"/>
            <w:shd w:fill="F7F1E8" w:val="clear"/>
            <w:tcMar>
              <w:top w:type="dxa" w:w="60"/>
              <w:left w:type="dxa" w:w="100"/>
              <w:bottom w:type="dxa" w:w="60"/>
              <w:right w:type="dxa" w:w="100"/>
            </w:tcMar>
          </w:tcPr>
          <w:p>
            <w:pPr>
              <w:jc w:val="left"/>
            </w:pPr>
            <w:r>
              <w:rPr>
                <w:b w:val="false"/>
                <w:bCs w:val="false"/>
                <w:color w:val="000000"/>
              </w:rPr>
              <w:t xml:space="preserve">50.0%</w:t>
            </w:r>
          </w:p>
        </w:tc>
        <w:tc>
          <w:tcPr>
            <w:tcW w:type="dxa" w:w="3400"/>
            <w:shd w:fill="F7F1E8" w:val="clear"/>
            <w:tcMar>
              <w:top w:type="dxa" w:w="60"/>
              <w:left w:type="dxa" w:w="100"/>
              <w:bottom w:type="dxa" w:w="60"/>
              <w:right w:type="dxa" w:w="100"/>
            </w:tcMar>
          </w:tcPr>
          <w:p>
            <w:pPr>
              <w:jc w:val="left"/>
            </w:pPr>
            <w:r>
              <w:rPr>
                <w:b w:val="false"/>
                <w:bCs w:val="false"/>
                <w:color w:val="000000"/>
              </w:rPr>
              <w:t xml:space="preserve">Second-tier margin; large revenue base makes the 19-point margin gap versus the Chocolate line materially costly.</w:t>
            </w:r>
          </w:p>
        </w:tc>
      </w:tr>
      <w:tr>
        <w:tc>
          <w:tcPr>
            <w:tcW w:type="dxa" w:w="2600"/>
            <w:shd w:fill="FFFFFF" w:val="clear"/>
            <w:tcMar>
              <w:top w:type="dxa" w:w="60"/>
              <w:left w:type="dxa" w:w="100"/>
              <w:bottom w:type="dxa" w:w="60"/>
              <w:right w:type="dxa" w:w="100"/>
            </w:tcMar>
          </w:tcPr>
          <w:p>
            <w:pPr>
              <w:jc w:val="left"/>
            </w:pPr>
            <w:r>
              <w:rPr>
                <w:b w:val="false"/>
                <w:bCs w:val="false"/>
                <w:color w:val="000000"/>
              </w:rPr>
              <w:t xml:space="preserve">Wonka Gum</w:t>
            </w:r>
          </w:p>
        </w:tc>
        <w:tc>
          <w:tcPr>
            <w:tcW w:type="dxa" w:w="1800"/>
            <w:shd w:fill="FFFFFF" w:val="clear"/>
            <w:tcMar>
              <w:top w:type="dxa" w:w="60"/>
              <w:left w:type="dxa" w:w="100"/>
              <w:bottom w:type="dxa" w:w="60"/>
              <w:right w:type="dxa" w:w="100"/>
            </w:tcMar>
          </w:tcPr>
          <w:p>
            <w:pPr>
              <w:jc w:val="left"/>
            </w:pPr>
            <w:r>
              <w:rPr>
                <w:b w:val="false"/>
                <w:bCs w:val="false"/>
                <w:color w:val="000000"/>
              </w:rPr>
              <w:t xml:space="preserve">$597.50</w:t>
            </w:r>
          </w:p>
        </w:tc>
        <w:tc>
          <w:tcPr>
            <w:tcW w:type="dxa" w:w="1600"/>
            <w:shd w:fill="FFFFFF" w:val="clear"/>
            <w:tcMar>
              <w:top w:type="dxa" w:w="60"/>
              <w:left w:type="dxa" w:w="100"/>
              <w:bottom w:type="dxa" w:w="60"/>
              <w:right w:type="dxa" w:w="100"/>
            </w:tcMar>
          </w:tcPr>
          <w:p>
            <w:pPr>
              <w:jc w:val="left"/>
            </w:pPr>
            <w:r>
              <w:rPr>
                <w:b w:val="false"/>
                <w:bCs w:val="false"/>
                <w:color w:val="000000"/>
              </w:rPr>
              <w:t xml:space="preserve">52.0%</w:t>
            </w:r>
          </w:p>
        </w:tc>
        <w:tc>
          <w:tcPr>
            <w:tcW w:type="dxa" w:w="3400"/>
            <w:shd w:fill="FFFFFF" w:val="clear"/>
            <w:tcMar>
              <w:top w:type="dxa" w:w="60"/>
              <w:left w:type="dxa" w:w="100"/>
              <w:bottom w:type="dxa" w:w="60"/>
              <w:right w:type="dxa" w:w="100"/>
            </w:tcMar>
          </w:tcPr>
          <w:p>
            <w:pPr>
              <w:jc w:val="left"/>
            </w:pPr>
            <w:r>
              <w:rPr>
                <w:b w:val="false"/>
                <w:bCs w:val="false"/>
                <w:color w:val="000000"/>
              </w:rPr>
              <w:t xml:space="preserve">Modest revenue but structurally similar to Lickable Wallpaper's margin profile.</w:t>
            </w:r>
          </w:p>
        </w:tc>
      </w:tr>
      <w:tr>
        <w:tc>
          <w:tcPr>
            <w:tcW w:type="dxa" w:w="2600"/>
            <w:shd w:fill="F7F1E8" w:val="clear"/>
            <w:tcMar>
              <w:top w:type="dxa" w:w="60"/>
              <w:left w:type="dxa" w:w="100"/>
              <w:bottom w:type="dxa" w:w="60"/>
              <w:right w:type="dxa" w:w="100"/>
            </w:tcMar>
          </w:tcPr>
          <w:p>
            <w:pPr>
              <w:jc w:val="left"/>
            </w:pPr>
            <w:r>
              <w:rPr>
                <w:b w:val="false"/>
                <w:bCs w:val="false"/>
                <w:color w:val="000000"/>
              </w:rPr>
              <w:t xml:space="preserve">Kazookles</w:t>
            </w:r>
          </w:p>
        </w:tc>
        <w:tc>
          <w:tcPr>
            <w:tcW w:type="dxa" w:w="1800"/>
            <w:shd w:fill="F7F1E8" w:val="clear"/>
            <w:tcMar>
              <w:top w:type="dxa" w:w="60"/>
              <w:left w:type="dxa" w:w="100"/>
              <w:bottom w:type="dxa" w:w="60"/>
              <w:right w:type="dxa" w:w="100"/>
            </w:tcMar>
          </w:tcPr>
          <w:p>
            <w:pPr>
              <w:jc w:val="left"/>
            </w:pPr>
            <w:r>
              <w:rPr>
                <w:b w:val="false"/>
                <w:bCs w:val="false"/>
                <w:color w:val="000000"/>
              </w:rPr>
              <w:t xml:space="preserve">$1,205.75</w:t>
            </w:r>
          </w:p>
        </w:tc>
        <w:tc>
          <w:tcPr>
            <w:tcW w:type="dxa" w:w="1600"/>
            <w:shd w:fill="F7F1E8" w:val="clear"/>
            <w:tcMar>
              <w:top w:type="dxa" w:w="60"/>
              <w:left w:type="dxa" w:w="100"/>
              <w:bottom w:type="dxa" w:w="60"/>
              <w:right w:type="dxa" w:w="100"/>
            </w:tcMar>
          </w:tcPr>
          <w:p>
            <w:pPr>
              <w:jc w:val="left"/>
            </w:pPr>
            <w:r>
              <w:rPr>
                <w:b w:val="false"/>
                <w:bCs w:val="false"/>
                <w:color w:val="000000"/>
              </w:rPr>
              <w:t xml:space="preserve">7.7%</w:t>
            </w:r>
          </w:p>
        </w:tc>
        <w:tc>
          <w:tcPr>
            <w:tcW w:type="dxa" w:w="3400"/>
            <w:shd w:fill="F7F1E8" w:val="clear"/>
            <w:tcMar>
              <w:top w:type="dxa" w:w="60"/>
              <w:left w:type="dxa" w:w="100"/>
              <w:bottom w:type="dxa" w:w="60"/>
              <w:right w:type="dxa" w:w="100"/>
            </w:tcMar>
          </w:tcPr>
          <w:p>
            <w:pPr>
              <w:jc w:val="left"/>
            </w:pPr>
            <w:r>
              <w:rPr>
                <w:b w:val="false"/>
                <w:bCs w:val="false"/>
                <w:color w:val="000000"/>
              </w:rPr>
              <w:t xml:space="preserve">Severe outlier — cost-to-sales ratio of 92.3% leaves almost no margin per unit sold.</w:t>
            </w:r>
          </w:p>
        </w:tc>
      </w:tr>
    </w:tbl>
    <w:p>
      <w:pPr>
        <w:spacing w:after="160"/>
      </w:pPr>
      <w:r>
        <w:t xml:space="preserve">Kazookles is the single clearest margin risk in the portfolio: it sells at meaningful volume but returns essentially no profit, meaning every unit sold is close to a break-even (or effectively wasted) transaction from a profitability standpoint.</w:t>
      </w:r>
    </w:p>
    <w:p>
      <w:pPr>
        <w:pStyle w:val="Heading2"/>
        <w:spacing w:after="120" w:before="240"/>
      </w:pPr>
      <w:r>
        <w:t xml:space="preserve">4.3 Low-Sales / High-Margin Products (Niche)</w:t>
      </w:r>
    </w:p>
    <w:p>
      <w:pPr>
        <w:spacing w:after="160"/>
      </w:pPr>
      <w:r>
        <w:t xml:space="preserve">Everlasting Gobstopper (80.0% margin), Hair Toffee (77.8%), and Laffy Taffy (62.3%) post the strongest unit economics in the catalog but at negligible sales volume (under $130 each in total sales over two years). These are not currently material to company profit, but they demonstrate pricing power that could inform repricing decisions on the Volume Trap products.</w:t>
      </w:r>
    </w:p>
    <w:p>
      <w:pPr>
        <w:pStyle w:val="Heading2"/>
        <w:spacing w:after="120" w:before="240"/>
      </w:pPr>
      <w:r>
        <w:t xml:space="preserve">4.4 Low-Sales / Low-Margin Products (Laggards)</w:t>
      </w:r>
    </w:p>
    <w:p>
      <w:pPr>
        <w:spacing w:after="160"/>
      </w:pPr>
      <w:r>
        <w:t xml:space="preserve">Fizzy Lifting Drinks, SweeTARTS, Nerds, and Fun Dip each generated under $80 in total sales over the two-year period, with margins between 40% and 62%. Collectively they represent under 0.1% of company profit. These are prime candidates for product-line rationalization: it is unlikely that the SKU-maintenance, shelf-space, and sourcing overhead of carrying four separate low-volume items is justified by their financial contribution.</w:t>
      </w:r>
    </w:p>
    <w:p>
      <w:pPr>
        <w:pStyle w:val="Heading1"/>
        <w:spacing w:after="160" w:before="320"/>
      </w:pPr>
      <w:r>
        <w:t xml:space="preserve">5. Division-Level Performance Analysis</w:t>
      </w:r>
    </w:p>
    <w:p>
      <w:pPr>
        <w:spacing w:after="60" w:before="12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67125"/>
                    </a:xfrm>
                    <a:prstGeom prst="rect">
                      <a:avLst/>
                    </a:prstGeom>
                  </pic:spPr>
                </pic:pic>
              </a:graphicData>
            </a:graphic>
          </wp:inline>
        </w:drawing>
      </w:r>
    </w:p>
    <w:p>
      <w:pPr>
        <w:spacing w:after="240"/>
        <w:jc w:val="center"/>
      </w:pPr>
      <w:r>
        <w:rPr>
          <w:i/>
          <w:iCs/>
          <w:color w:val="6b5d52"/>
          <w:sz w:val="18"/>
          <w:szCs w:val="18"/>
        </w:rPr>
        <w:t xml:space="preserve">Figure 3. Revenue share vs. profit share by division.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200"/>
        <w:gridCol w:w="1600"/>
        <w:gridCol w:w="1600"/>
        <w:gridCol w:w="1600"/>
      </w:tblGrid>
      <w:tr>
        <w:trPr>
          <w:tblHeader/>
        </w:trPr>
        <w:tc>
          <w:tcPr>
            <w:tcW w:type="dxa" w:w="1600"/>
            <w:shd w:fill="5B3A29" w:val="clear"/>
            <w:tcMar>
              <w:top w:type="dxa" w:w="60"/>
              <w:left w:type="dxa" w:w="100"/>
              <w:bottom w:type="dxa" w:w="60"/>
              <w:right w:type="dxa" w:w="100"/>
            </w:tcMar>
          </w:tcPr>
          <w:p>
            <w:pPr>
              <w:jc w:val="left"/>
            </w:pPr>
            <w:r>
              <w:rPr>
                <w:b/>
                <w:bCs/>
                <w:color w:val="FFFFFF"/>
              </w:rPr>
              <w:t xml:space="preserve">Division</w:t>
            </w:r>
          </w:p>
        </w:tc>
        <w:tc>
          <w:tcPr>
            <w:tcW w:type="dxa" w:w="1800"/>
            <w:shd w:fill="5B3A29" w:val="clear"/>
            <w:tcMar>
              <w:top w:type="dxa" w:w="60"/>
              <w:left w:type="dxa" w:w="100"/>
              <w:bottom w:type="dxa" w:w="60"/>
              <w:right w:type="dxa" w:w="100"/>
            </w:tcMar>
          </w:tcPr>
          <w:p>
            <w:pPr>
              <w:jc w:val="left"/>
            </w:pPr>
            <w:r>
              <w:rPr>
                <w:b/>
                <w:bCs/>
                <w:color w:val="FFFFFF"/>
              </w:rPr>
              <w:t xml:space="preserve">Sales</w:t>
            </w:r>
          </w:p>
        </w:tc>
        <w:tc>
          <w:tcPr>
            <w:tcW w:type="dxa" w:w="1800"/>
            <w:shd w:fill="5B3A29" w:val="clear"/>
            <w:tcMar>
              <w:top w:type="dxa" w:w="60"/>
              <w:left w:type="dxa" w:w="100"/>
              <w:bottom w:type="dxa" w:w="60"/>
              <w:right w:type="dxa" w:w="100"/>
            </w:tcMar>
          </w:tcPr>
          <w:p>
            <w:pPr>
              <w:jc w:val="left"/>
            </w:pPr>
            <w:r>
              <w:rPr>
                <w:b/>
                <w:bCs/>
                <w:color w:val="FFFFFF"/>
              </w:rPr>
              <w:t xml:space="preserve">Gross Profit</w:t>
            </w:r>
          </w:p>
        </w:tc>
        <w:tc>
          <w:tcPr>
            <w:tcW w:type="dxa" w:w="1200"/>
            <w:shd w:fill="5B3A29" w:val="clear"/>
            <w:tcMar>
              <w:top w:type="dxa" w:w="60"/>
              <w:left w:type="dxa" w:w="100"/>
              <w:bottom w:type="dxa" w:w="60"/>
              <w:right w:type="dxa" w:w="100"/>
            </w:tcMar>
          </w:tcPr>
          <w:p>
            <w:pPr>
              <w:jc w:val="left"/>
            </w:pPr>
            <w:r>
              <w:rPr>
                <w:b/>
                <w:bCs/>
                <w:color w:val="FFFFFF"/>
              </w:rPr>
              <w:t xml:space="preserve">Margin %</w:t>
            </w:r>
          </w:p>
        </w:tc>
        <w:tc>
          <w:tcPr>
            <w:tcW w:type="dxa" w:w="1600"/>
            <w:shd w:fill="5B3A29" w:val="clear"/>
            <w:tcMar>
              <w:top w:type="dxa" w:w="60"/>
              <w:left w:type="dxa" w:w="100"/>
              <w:bottom w:type="dxa" w:w="60"/>
              <w:right w:type="dxa" w:w="100"/>
            </w:tcMar>
          </w:tcPr>
          <w:p>
            <w:pPr>
              <w:jc w:val="left"/>
            </w:pPr>
            <w:r>
              <w:rPr>
                <w:b/>
                <w:bCs/>
                <w:color w:val="FFFFFF"/>
              </w:rPr>
              <w:t xml:space="preserve">Revenue Share</w:t>
            </w:r>
          </w:p>
        </w:tc>
        <w:tc>
          <w:tcPr>
            <w:tcW w:type="dxa" w:w="1600"/>
            <w:shd w:fill="5B3A29" w:val="clear"/>
            <w:tcMar>
              <w:top w:type="dxa" w:w="60"/>
              <w:left w:type="dxa" w:w="100"/>
              <w:bottom w:type="dxa" w:w="60"/>
              <w:right w:type="dxa" w:w="100"/>
            </w:tcMar>
          </w:tcPr>
          <w:p>
            <w:pPr>
              <w:jc w:val="left"/>
            </w:pPr>
            <w:r>
              <w:rPr>
                <w:b/>
                <w:bCs/>
                <w:color w:val="FFFFFF"/>
              </w:rPr>
              <w:t xml:space="preserve">Profit Share</w:t>
            </w:r>
          </w:p>
        </w:tc>
        <w:tc>
          <w:tcPr>
            <w:tcW w:type="dxa" w:w="1600"/>
            <w:shd w:fill="5B3A29" w:val="clear"/>
            <w:tcMar>
              <w:top w:type="dxa" w:w="60"/>
              <w:left w:type="dxa" w:w="100"/>
              <w:bottom w:type="dxa" w:w="60"/>
              <w:right w:type="dxa" w:w="100"/>
            </w:tcMar>
          </w:tcPr>
          <w:p>
            <w:pPr>
              <w:jc w:val="left"/>
            </w:pPr>
            <w:r>
              <w:rPr>
                <w:b/>
                <w:bCs/>
                <w:color w:val="FFFFFF"/>
              </w:rPr>
              <w:t xml:space="preserve">Imbalance (pp)</w:t>
            </w:r>
          </w:p>
        </w:tc>
      </w:tr>
      <w:tr>
        <w:tc>
          <w:tcPr>
            <w:tcW w:type="dxa" w:w="1600"/>
            <w:shd w:fill="F7F1E8" w:val="clear"/>
            <w:tcMar>
              <w:top w:type="dxa" w:w="60"/>
              <w:left w:type="dxa" w:w="100"/>
              <w:bottom w:type="dxa" w:w="60"/>
              <w:right w:type="dxa" w:w="100"/>
            </w:tcMar>
          </w:tcPr>
          <w:p>
            <w:pPr>
              <w:jc w:val="left"/>
            </w:pPr>
            <w:r>
              <w:rPr>
                <w:b w:val="false"/>
                <w:bCs w:val="false"/>
                <w:color w:val="000000"/>
              </w:rPr>
              <w:t xml:space="preserve">Chocolate</w:t>
            </w:r>
          </w:p>
        </w:tc>
        <w:tc>
          <w:tcPr>
            <w:tcW w:type="dxa" w:w="1800"/>
            <w:shd w:fill="F7F1E8" w:val="clear"/>
            <w:tcMar>
              <w:top w:type="dxa" w:w="60"/>
              <w:left w:type="dxa" w:w="100"/>
              <w:bottom w:type="dxa" w:w="60"/>
              <w:right w:type="dxa" w:w="100"/>
            </w:tcMar>
          </w:tcPr>
          <w:p>
            <w:pPr>
              <w:jc w:val="left"/>
            </w:pPr>
            <w:r>
              <w:rPr>
                <w:b w:val="false"/>
                <w:bCs w:val="false"/>
                <w:color w:val="000000"/>
              </w:rPr>
              <w:t xml:space="preserve">$131,554.85</w:t>
            </w:r>
          </w:p>
        </w:tc>
        <w:tc>
          <w:tcPr>
            <w:tcW w:type="dxa" w:w="1800"/>
            <w:shd w:fill="F7F1E8" w:val="clear"/>
            <w:tcMar>
              <w:top w:type="dxa" w:w="60"/>
              <w:left w:type="dxa" w:w="100"/>
              <w:bottom w:type="dxa" w:w="60"/>
              <w:right w:type="dxa" w:w="100"/>
            </w:tcMar>
          </w:tcPr>
          <w:p>
            <w:pPr>
              <w:jc w:val="left"/>
            </w:pPr>
            <w:r>
              <w:rPr>
                <w:b w:val="false"/>
                <w:bCs w:val="false"/>
                <w:color w:val="000000"/>
              </w:rPr>
              <w:t xml:space="preserve">$88,732.49</w:t>
            </w:r>
          </w:p>
        </w:tc>
        <w:tc>
          <w:tcPr>
            <w:tcW w:type="dxa" w:w="1200"/>
            <w:shd w:fill="F7F1E8" w:val="clear"/>
            <w:tcMar>
              <w:top w:type="dxa" w:w="60"/>
              <w:left w:type="dxa" w:w="100"/>
              <w:bottom w:type="dxa" w:w="60"/>
              <w:right w:type="dxa" w:w="100"/>
            </w:tcMar>
          </w:tcPr>
          <w:p>
            <w:pPr>
              <w:jc w:val="left"/>
            </w:pPr>
            <w:r>
              <w:rPr>
                <w:b w:val="false"/>
                <w:bCs w:val="false"/>
                <w:color w:val="000000"/>
              </w:rPr>
              <w:t xml:space="preserve">67.4%</w:t>
            </w:r>
          </w:p>
        </w:tc>
        <w:tc>
          <w:tcPr>
            <w:tcW w:type="dxa" w:w="1600"/>
            <w:shd w:fill="F7F1E8" w:val="clear"/>
            <w:tcMar>
              <w:top w:type="dxa" w:w="60"/>
              <w:left w:type="dxa" w:w="100"/>
              <w:bottom w:type="dxa" w:w="60"/>
              <w:right w:type="dxa" w:w="100"/>
            </w:tcMar>
          </w:tcPr>
          <w:p>
            <w:pPr>
              <w:jc w:val="left"/>
            </w:pPr>
            <w:r>
              <w:rPr>
                <w:b w:val="false"/>
                <w:bCs w:val="false"/>
                <w:color w:val="000000"/>
              </w:rPr>
              <w:t xml:space="preserve">92.9%</w:t>
            </w:r>
          </w:p>
        </w:tc>
        <w:tc>
          <w:tcPr>
            <w:tcW w:type="dxa" w:w="1600"/>
            <w:shd w:fill="F7F1E8" w:val="clear"/>
            <w:tcMar>
              <w:top w:type="dxa" w:w="60"/>
              <w:left w:type="dxa" w:w="100"/>
              <w:bottom w:type="dxa" w:w="60"/>
              <w:right w:type="dxa" w:w="100"/>
            </w:tcMar>
          </w:tcPr>
          <w:p>
            <w:pPr>
              <w:jc w:val="left"/>
            </w:pPr>
            <w:r>
              <w:rPr>
                <w:b w:val="false"/>
                <w:bCs w:val="false"/>
                <w:color w:val="000000"/>
              </w:rPr>
              <w:t xml:space="preserve">95.1%</w:t>
            </w:r>
          </w:p>
        </w:tc>
        <w:tc>
          <w:tcPr>
            <w:tcW w:type="dxa" w:w="1600"/>
            <w:shd w:fill="F7F1E8" w:val="clear"/>
            <w:tcMar>
              <w:top w:type="dxa" w:w="60"/>
              <w:left w:type="dxa" w:w="100"/>
              <w:bottom w:type="dxa" w:w="60"/>
              <w:right w:type="dxa" w:w="100"/>
            </w:tcMar>
          </w:tcPr>
          <w:p>
            <w:pPr>
              <w:jc w:val="left"/>
            </w:pPr>
            <w:r>
              <w:rPr>
                <w:b w:val="false"/>
                <w:bCs w:val="false"/>
                <w:color w:val="000000"/>
              </w:rPr>
              <w:t xml:space="preserve">+2.18</w:t>
            </w:r>
          </w:p>
        </w:tc>
      </w:tr>
      <w:tr>
        <w:tc>
          <w:tcPr>
            <w:tcW w:type="dxa" w:w="1600"/>
            <w:shd w:fill="FFFFFF" w:val="clear"/>
            <w:tcMar>
              <w:top w:type="dxa" w:w="60"/>
              <w:left w:type="dxa" w:w="100"/>
              <w:bottom w:type="dxa" w:w="60"/>
              <w:right w:type="dxa" w:w="100"/>
            </w:tcMar>
          </w:tcPr>
          <w:p>
            <w:pPr>
              <w:jc w:val="left"/>
            </w:pPr>
            <w:r>
              <w:rPr>
                <w:b w:val="false"/>
                <w:bCs w:val="false"/>
                <w:color w:val="000000"/>
              </w:rPr>
              <w:t xml:space="preserve">Other</w:t>
            </w:r>
          </w:p>
        </w:tc>
        <w:tc>
          <w:tcPr>
            <w:tcW w:type="dxa" w:w="1800"/>
            <w:shd w:fill="FFFFFF" w:val="clear"/>
            <w:tcMar>
              <w:top w:type="dxa" w:w="60"/>
              <w:left w:type="dxa" w:w="100"/>
              <w:bottom w:type="dxa" w:w="60"/>
              <w:right w:type="dxa" w:w="100"/>
            </w:tcMar>
          </w:tcPr>
          <w:p>
            <w:pPr>
              <w:jc w:val="left"/>
            </w:pPr>
            <w:r>
              <w:rPr>
                <w:b w:val="false"/>
                <w:bCs w:val="false"/>
                <w:color w:val="000000"/>
              </w:rPr>
              <w:t xml:space="preserve">$9,663.25</w:t>
            </w:r>
          </w:p>
        </w:tc>
        <w:tc>
          <w:tcPr>
            <w:tcW w:type="dxa" w:w="1800"/>
            <w:shd w:fill="FFFFFF" w:val="clear"/>
            <w:tcMar>
              <w:top w:type="dxa" w:w="60"/>
              <w:left w:type="dxa" w:w="100"/>
              <w:bottom w:type="dxa" w:w="60"/>
              <w:right w:type="dxa" w:w="100"/>
            </w:tcMar>
          </w:tcPr>
          <w:p>
            <w:pPr>
              <w:jc w:val="left"/>
            </w:pPr>
            <w:r>
              <w:rPr>
                <w:b w:val="false"/>
                <w:bCs w:val="false"/>
                <w:color w:val="000000"/>
              </w:rPr>
              <w:t xml:space="preserve">$4,333.45</w:t>
            </w:r>
          </w:p>
        </w:tc>
        <w:tc>
          <w:tcPr>
            <w:tcW w:type="dxa" w:w="1200"/>
            <w:shd w:fill="FFFFFF" w:val="clear"/>
            <w:tcMar>
              <w:top w:type="dxa" w:w="60"/>
              <w:left w:type="dxa" w:w="100"/>
              <w:bottom w:type="dxa" w:w="60"/>
              <w:right w:type="dxa" w:w="100"/>
            </w:tcMar>
          </w:tcPr>
          <w:p>
            <w:pPr>
              <w:jc w:val="left"/>
            </w:pPr>
            <w:r>
              <w:rPr>
                <w:b w:val="false"/>
                <w:bCs w:val="false"/>
                <w:color w:val="000000"/>
              </w:rPr>
              <w:t xml:space="preserve">44.8%</w:t>
            </w:r>
          </w:p>
        </w:tc>
        <w:tc>
          <w:tcPr>
            <w:tcW w:type="dxa" w:w="1600"/>
            <w:shd w:fill="FFFFFF" w:val="clear"/>
            <w:tcMar>
              <w:top w:type="dxa" w:w="60"/>
              <w:left w:type="dxa" w:w="100"/>
              <w:bottom w:type="dxa" w:w="60"/>
              <w:right w:type="dxa" w:w="100"/>
            </w:tcMar>
          </w:tcPr>
          <w:p>
            <w:pPr>
              <w:jc w:val="left"/>
            </w:pPr>
            <w:r>
              <w:rPr>
                <w:b w:val="false"/>
                <w:bCs w:val="false"/>
                <w:color w:val="000000"/>
              </w:rPr>
              <w:t xml:space="preserve">6.8%</w:t>
            </w:r>
          </w:p>
        </w:tc>
        <w:tc>
          <w:tcPr>
            <w:tcW w:type="dxa" w:w="1600"/>
            <w:shd w:fill="FFFFFF" w:val="clear"/>
            <w:tcMar>
              <w:top w:type="dxa" w:w="60"/>
              <w:left w:type="dxa" w:w="100"/>
              <w:bottom w:type="dxa" w:w="60"/>
              <w:right w:type="dxa" w:w="100"/>
            </w:tcMar>
          </w:tcPr>
          <w:p>
            <w:pPr>
              <w:jc w:val="left"/>
            </w:pPr>
            <w:r>
              <w:rPr>
                <w:b w:val="false"/>
                <w:bCs w:val="false"/>
                <w:color w:val="000000"/>
              </w:rPr>
              <w:t xml:space="preserve">4.6%</w:t>
            </w:r>
          </w:p>
        </w:tc>
        <w:tc>
          <w:tcPr>
            <w:tcW w:type="dxa" w:w="1600"/>
            <w:shd w:fill="FFFFFF" w:val="clear"/>
            <w:tcMar>
              <w:top w:type="dxa" w:w="60"/>
              <w:left w:type="dxa" w:w="100"/>
              <w:bottom w:type="dxa" w:w="60"/>
              <w:right w:type="dxa" w:w="100"/>
            </w:tcMar>
          </w:tcPr>
          <w:p>
            <w:pPr>
              <w:jc w:val="left"/>
            </w:pPr>
            <w:r>
              <w:rPr>
                <w:b w:val="false"/>
                <w:bCs w:val="false"/>
                <w:color w:val="000000"/>
              </w:rPr>
              <w:t xml:space="preserve">−2.18</w:t>
            </w:r>
          </w:p>
        </w:tc>
      </w:tr>
      <w:tr>
        <w:tc>
          <w:tcPr>
            <w:tcW w:type="dxa" w:w="1600"/>
            <w:shd w:fill="F7F1E8" w:val="clear"/>
            <w:tcMar>
              <w:top w:type="dxa" w:w="60"/>
              <w:left w:type="dxa" w:w="100"/>
              <w:bottom w:type="dxa" w:w="60"/>
              <w:right w:type="dxa" w:w="100"/>
            </w:tcMar>
          </w:tcPr>
          <w:p>
            <w:pPr>
              <w:jc w:val="left"/>
            </w:pPr>
            <w:r>
              <w:rPr>
                <w:b w:val="false"/>
                <w:bCs w:val="false"/>
                <w:color w:val="000000"/>
              </w:rPr>
              <w:t xml:space="preserve">Sugar</w:t>
            </w:r>
          </w:p>
        </w:tc>
        <w:tc>
          <w:tcPr>
            <w:tcW w:type="dxa" w:w="1800"/>
            <w:shd w:fill="F7F1E8" w:val="clear"/>
            <w:tcMar>
              <w:top w:type="dxa" w:w="60"/>
              <w:left w:type="dxa" w:w="100"/>
              <w:bottom w:type="dxa" w:w="60"/>
              <w:right w:type="dxa" w:w="100"/>
            </w:tcMar>
          </w:tcPr>
          <w:p>
            <w:pPr>
              <w:jc w:val="left"/>
            </w:pPr>
            <w:r>
              <w:rPr>
                <w:b w:val="false"/>
                <w:bCs w:val="false"/>
                <w:color w:val="000000"/>
              </w:rPr>
              <w:t xml:space="preserve">$427.48</w:t>
            </w:r>
          </w:p>
        </w:tc>
        <w:tc>
          <w:tcPr>
            <w:tcW w:type="dxa" w:w="1800"/>
            <w:shd w:fill="F7F1E8" w:val="clear"/>
            <w:tcMar>
              <w:top w:type="dxa" w:w="60"/>
              <w:left w:type="dxa" w:w="100"/>
              <w:bottom w:type="dxa" w:w="60"/>
              <w:right w:type="dxa" w:w="100"/>
            </w:tcMar>
          </w:tcPr>
          <w:p>
            <w:pPr>
              <w:jc w:val="left"/>
            </w:pPr>
            <w:r>
              <w:rPr>
                <w:b w:val="false"/>
                <w:bCs w:val="false"/>
                <w:color w:val="000000"/>
              </w:rPr>
              <w:t xml:space="preserve">$284.73</w:t>
            </w:r>
          </w:p>
        </w:tc>
        <w:tc>
          <w:tcPr>
            <w:tcW w:type="dxa" w:w="1200"/>
            <w:shd w:fill="F7F1E8" w:val="clear"/>
            <w:tcMar>
              <w:top w:type="dxa" w:w="60"/>
              <w:left w:type="dxa" w:w="100"/>
              <w:bottom w:type="dxa" w:w="60"/>
              <w:right w:type="dxa" w:w="100"/>
            </w:tcMar>
          </w:tcPr>
          <w:p>
            <w:pPr>
              <w:jc w:val="left"/>
            </w:pPr>
            <w:r>
              <w:rPr>
                <w:b w:val="false"/>
                <w:bCs w:val="false"/>
                <w:color w:val="000000"/>
              </w:rPr>
              <w:t xml:space="preserve">66.6%</w:t>
            </w:r>
          </w:p>
        </w:tc>
        <w:tc>
          <w:tcPr>
            <w:tcW w:type="dxa" w:w="1600"/>
            <w:shd w:fill="F7F1E8" w:val="clear"/>
            <w:tcMar>
              <w:top w:type="dxa" w:w="60"/>
              <w:left w:type="dxa" w:w="100"/>
              <w:bottom w:type="dxa" w:w="60"/>
              <w:right w:type="dxa" w:w="100"/>
            </w:tcMar>
          </w:tcPr>
          <w:p>
            <w:pPr>
              <w:jc w:val="left"/>
            </w:pPr>
            <w:r>
              <w:rPr>
                <w:b w:val="false"/>
                <w:bCs w:val="false"/>
                <w:color w:val="000000"/>
              </w:rPr>
              <w:t xml:space="preserve">0.3%</w:t>
            </w:r>
          </w:p>
        </w:tc>
        <w:tc>
          <w:tcPr>
            <w:tcW w:type="dxa" w:w="1600"/>
            <w:shd w:fill="F7F1E8" w:val="clear"/>
            <w:tcMar>
              <w:top w:type="dxa" w:w="60"/>
              <w:left w:type="dxa" w:w="100"/>
              <w:bottom w:type="dxa" w:w="60"/>
              <w:right w:type="dxa" w:w="100"/>
            </w:tcMar>
          </w:tcPr>
          <w:p>
            <w:pPr>
              <w:jc w:val="left"/>
            </w:pPr>
            <w:r>
              <w:rPr>
                <w:b w:val="false"/>
                <w:bCs w:val="false"/>
                <w:color w:val="000000"/>
              </w:rPr>
              <w:t xml:space="preserve">0.3%</w:t>
            </w:r>
          </w:p>
        </w:tc>
        <w:tc>
          <w:tcPr>
            <w:tcW w:type="dxa" w:w="1600"/>
            <w:shd w:fill="F7F1E8" w:val="clear"/>
            <w:tcMar>
              <w:top w:type="dxa" w:w="60"/>
              <w:left w:type="dxa" w:w="100"/>
              <w:bottom w:type="dxa" w:w="60"/>
              <w:right w:type="dxa" w:w="100"/>
            </w:tcMar>
          </w:tcPr>
          <w:p>
            <w:pPr>
              <w:jc w:val="left"/>
            </w:pPr>
            <w:r>
              <w:rPr>
                <w:b w:val="false"/>
                <w:bCs w:val="false"/>
                <w:color w:val="000000"/>
              </w:rPr>
              <w:t xml:space="preserve">+0.00</w:t>
            </w:r>
          </w:p>
        </w:tc>
      </w:tr>
    </w:tbl>
    <w:p>
      <w:pPr>
        <w:spacing w:after="160"/>
      </w:pPr>
      <w:r>
        <w:t xml:space="preserve">Chocolate is both the volume leader and the margin leader (67.4% gross margin, the highest of the three divisions by a meaningful gap), and it converts revenue into profit slightly more efficiently than its revenue share alone would predict (+2.18 percentage points of profit share versus revenue share). This is a structurally healthy division.</w:t>
      </w:r>
    </w:p>
    <w:p>
      <w:pPr>
        <w:spacing w:after="160"/>
      </w:pPr>
      <w:r>
        <w:t xml:space="preserve">The Other division (Wonka Gum, Kazookles, Lickable Wallpaper) is the clear underperformer: its 44.8% margin is more than 20 points below Chocolate's, and it captures 2.18 percentage points less of total profit than its revenue share alone would suggest — a direct fingerprint of Kazookles's near-zero margin dragging the division average down.</w:t>
      </w:r>
    </w:p>
    <w:p>
      <w:pPr>
        <w:spacing w:after="160"/>
      </w:pPr>
      <w:r>
        <w:t xml:space="preserve">The Sugar division is financially healthy on a margin basis (66.6%) but is a rounding error in absolute scale — 40 orders and $427 in total sales across two years, versus 8,205 orders for Chocolate. Sugar-division products should be evaluated for whether they are a strategic incubation category or simply not being actively sold/marketed; the current data cannot distinguish between the two.</w:t>
      </w:r>
    </w:p>
    <w:p>
      <w:pPr>
        <w:spacing w:after="60" w:before="12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67125"/>
                    </a:xfrm>
                    <a:prstGeom prst="rect">
                      <a:avLst/>
                    </a:prstGeom>
                  </pic:spPr>
                </pic:pic>
              </a:graphicData>
            </a:graphic>
          </wp:inline>
        </w:drawing>
      </w:r>
    </w:p>
    <w:p>
      <w:pPr>
        <w:spacing w:after="240"/>
        <w:jc w:val="center"/>
      </w:pPr>
      <w:r>
        <w:rPr>
          <w:i/>
          <w:iCs/>
          <w:color w:val="6b5d52"/>
          <w:sz w:val="18"/>
          <w:szCs w:val="18"/>
        </w:rPr>
        <w:t xml:space="preserve">Figure 4. Order-level gross margin distribution by division. The Other division shows both a lower median margin and wider spread than Chocolate or Sugar, indicating less predictable per-order profitability.</w:t>
      </w:r>
    </w:p>
    <w:p>
      <w:pPr>
        <w:spacing w:after="6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33700"/>
                    </a:xfrm>
                    <a:prstGeom prst="rect">
                      <a:avLst/>
                    </a:prstGeom>
                  </pic:spPr>
                </pic:pic>
              </a:graphicData>
            </a:graphic>
          </wp:inline>
        </w:drawing>
      </w:r>
    </w:p>
    <w:p>
      <w:pPr>
        <w:spacing w:after="240"/>
        <w:jc w:val="center"/>
      </w:pPr>
      <w:r>
        <w:rPr>
          <w:i/>
          <w:iCs/>
          <w:color w:val="6b5d52"/>
          <w:sz w:val="18"/>
          <w:szCs w:val="18"/>
        </w:rPr>
        <w:t xml:space="preserve">Figure 5. Monthly gross margin trend by division across the two-year analysis window.</w:t>
      </w:r>
    </w:p>
    <w:p>
      <w:pPr>
        <w:pStyle w:val="Heading1"/>
        <w:spacing w:after="160" w:before="320"/>
      </w:pPr>
      <w:r>
        <w:t xml:space="preserve">6. Profit Concentration (Pareto) Analysis</w:t>
      </w:r>
    </w:p>
    <w:p>
      <w:pPr>
        <w:spacing w:after="160"/>
      </w:pPr>
      <w:r>
        <w:t xml:space="preserve">A classic 80/20 concentration test was applied at both the product and geographic levels.</w:t>
      </w:r>
    </w:p>
    <w:p>
      <w:pPr>
        <w:spacing w:after="60" w:before="120"/>
        <w:jc w:val="center"/>
      </w:pPr>
      <w:r>
        <w:drawing>
          <wp:inline distT="0" distB="0" distL="0" distR="0">
            <wp:extent cx="5334000" cy="22566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56692"/>
                    </a:xfrm>
                    <a:prstGeom prst="rect">
                      <a:avLst/>
                    </a:prstGeom>
                  </pic:spPr>
                </pic:pic>
              </a:graphicData>
            </a:graphic>
          </wp:inline>
        </w:drawing>
      </w:r>
    </w:p>
    <w:p>
      <w:pPr>
        <w:spacing w:after="240"/>
        <w:jc w:val="center"/>
      </w:pPr>
      <w:r>
        <w:rPr>
          <w:i/>
          <w:iCs/>
          <w:color w:val="6b5d52"/>
          <w:sz w:val="18"/>
          <w:szCs w:val="18"/>
        </w:rPr>
        <w:t xml:space="preserve">Figure 6. Pareto concentration of product revenue (left) and gross profit (right).</w:t>
      </w:r>
    </w:p>
    <w:p>
      <w:pPr>
        <w:spacing w:after="160"/>
      </w:pPr>
      <w:r>
        <w:t xml:space="preserve">Just 5 of the 15 products (33%) generate 80% of total revenue, and the same 5 products generate 80% of total gross profit — in both cases, these are the five Chocolate Wonka Bar SKUs identified as Stars in Section 4.1. This is a textbook Pareto pattern and confirms that Nassau Candy's profitability is structurally dependent on a small, concentrated product core rather than a broad, diversified catalog.</w:t>
      </w:r>
    </w:p>
    <w:p>
      <w:pPr>
        <w:spacing w:after="60" w:before="120"/>
        <w:jc w:val="center"/>
      </w:pPr>
      <w:r>
        <w:drawing>
          <wp:inline distT="0" distB="0" distL="0" distR="0">
            <wp:extent cx="5334000" cy="32596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59667"/>
                    </a:xfrm>
                    <a:prstGeom prst="rect">
                      <a:avLst/>
                    </a:prstGeom>
                  </pic:spPr>
                </pic:pic>
              </a:graphicData>
            </a:graphic>
          </wp:inline>
        </w:drawing>
      </w:r>
    </w:p>
    <w:p>
      <w:pPr>
        <w:spacing w:after="240"/>
        <w:jc w:val="center"/>
      </w:pPr>
      <w:r>
        <w:rPr>
          <w:i/>
          <w:iCs/>
          <w:color w:val="6b5d52"/>
          <w:sz w:val="18"/>
          <w:szCs w:val="18"/>
        </w:rPr>
        <w:t xml:space="preserve">Figure 7. Top 15 states by revenue.</w:t>
      </w:r>
    </w:p>
    <w:p>
      <w:pPr>
        <w:spacing w:after="160"/>
      </w:pPr>
      <w:r>
        <w:t xml:space="preserve">Geographic concentration follows a similar, if less extreme, pattern: 16 of 59 states (27%) account for 80% of total revenue, led by California ($27,903.70), New York ($15,541.03), and Texas ($13,406.34). This is a moderate dependency risk — not as acute as the product concentration, but worth monitoring, particularly if the top three states experience any regional demand or logistics disruption.</w:t>
      </w:r>
    </w:p>
    <w:p>
      <w:pPr>
        <w:pStyle w:val="Heading1"/>
        <w:spacing w:after="160" w:before="320"/>
      </w:pPr>
      <w:r>
        <w:t xml:space="preserve">7. Cost Structure Diagnostics</w:t>
      </w:r>
    </w:p>
    <w:p>
      <w:pPr>
        <w:spacing w:after="60" w:before="120"/>
        <w:jc w:val="center"/>
      </w:pPr>
      <w:r>
        <w:drawing>
          <wp:inline distT="0" distB="0" distL="0" distR="0">
            <wp:extent cx="5334000" cy="355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6000"/>
                    </a:xfrm>
                    <a:prstGeom prst="rect">
                      <a:avLst/>
                    </a:prstGeom>
                  </pic:spPr>
                </pic:pic>
              </a:graphicData>
            </a:graphic>
          </wp:inline>
        </w:drawing>
      </w:r>
    </w:p>
    <w:p>
      <w:pPr>
        <w:spacing w:after="240"/>
        <w:jc w:val="center"/>
      </w:pPr>
      <w:r>
        <w:rPr>
          <w:i/>
          <w:iCs/>
          <w:color w:val="6b5d52"/>
          <w:sz w:val="18"/>
          <w:szCs w:val="18"/>
        </w:rPr>
        <w:t xml:space="preserve">Figure 8. Cost-to-sales ratio by product (bubble size = total units sold). Products above the dashed line are flagged as high cost-risk.</w:t>
      </w:r>
    </w:p>
    <w:p>
      <w:pPr>
        <w:spacing w:after="160"/>
      </w:pPr>
      <w:r>
        <w:t xml:space="preserve">Flagging products whose cost-to-sales ratio exceeds one standard deviation above the median (a threshold of 55.0% in this dataset) surfaces two products for immediate review: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200"/>
      </w:tblGrid>
      <w:tr>
        <w:trPr>
          <w:tblHeader/>
        </w:trPr>
        <w:tc>
          <w:tcPr>
            <w:tcW w:type="dxa" w:w="2600"/>
            <w:shd w:fill="5B3A29" w:val="clear"/>
            <w:tcMar>
              <w:top w:type="dxa" w:w="60"/>
              <w:left w:type="dxa" w:w="100"/>
              <w:bottom w:type="dxa" w:w="60"/>
              <w:right w:type="dxa" w:w="100"/>
            </w:tcMar>
          </w:tcPr>
          <w:p>
            <w:pPr>
              <w:jc w:val="left"/>
            </w:pPr>
            <w:r>
              <w:rPr>
                <w:b/>
                <w:bCs/>
                <w:color w:val="FFFFFF"/>
              </w:rPr>
              <w:t xml:space="preserve">Product</w:t>
            </w:r>
          </w:p>
        </w:tc>
        <w:tc>
          <w:tcPr>
            <w:tcW w:type="dxa" w:w="2400"/>
            <w:shd w:fill="5B3A29" w:val="clear"/>
            <w:tcMar>
              <w:top w:type="dxa" w:w="60"/>
              <w:left w:type="dxa" w:w="100"/>
              <w:bottom w:type="dxa" w:w="60"/>
              <w:right w:type="dxa" w:w="100"/>
            </w:tcMar>
          </w:tcPr>
          <w:p>
            <w:pPr>
              <w:jc w:val="left"/>
            </w:pPr>
            <w:r>
              <w:rPr>
                <w:b/>
                <w:bCs/>
                <w:color w:val="FFFFFF"/>
              </w:rPr>
              <w:t xml:space="preserve">Cost-to-Sales Ratio</w:t>
            </w:r>
          </w:p>
        </w:tc>
        <w:tc>
          <w:tcPr>
            <w:tcW w:type="dxa" w:w="2200"/>
            <w:shd w:fill="5B3A29" w:val="clear"/>
            <w:tcMar>
              <w:top w:type="dxa" w:w="60"/>
              <w:left w:type="dxa" w:w="100"/>
              <w:bottom w:type="dxa" w:w="60"/>
              <w:right w:type="dxa" w:w="100"/>
            </w:tcMar>
          </w:tcPr>
          <w:p>
            <w:pPr>
              <w:jc w:val="left"/>
            </w:pPr>
            <w:r>
              <w:rPr>
                <w:b/>
                <w:bCs/>
                <w:color w:val="FFFFFF"/>
              </w:rPr>
              <w:t xml:space="preserve">Gross Margin %</w:t>
            </w:r>
          </w:p>
        </w:tc>
        <w:tc>
          <w:tcPr>
            <w:tcW w:type="dxa" w:w="2200"/>
            <w:shd w:fill="5B3A29" w:val="clear"/>
            <w:tcMar>
              <w:top w:type="dxa" w:w="60"/>
              <w:left w:type="dxa" w:w="100"/>
              <w:bottom w:type="dxa" w:w="60"/>
              <w:right w:type="dxa" w:w="100"/>
            </w:tcMar>
          </w:tcPr>
          <w:p>
            <w:pPr>
              <w:jc w:val="left"/>
            </w:pPr>
            <w:r>
              <w:rPr>
                <w:b/>
                <w:bCs/>
                <w:color w:val="FFFFFF"/>
              </w:rPr>
              <w:t xml:space="preserve">Total Sales</w:t>
            </w:r>
          </w:p>
        </w:tc>
      </w:tr>
      <w:tr>
        <w:tc>
          <w:tcPr>
            <w:tcW w:type="dxa" w:w="2600"/>
            <w:shd w:fill="F7F1E8" w:val="clear"/>
            <w:tcMar>
              <w:top w:type="dxa" w:w="60"/>
              <w:left w:type="dxa" w:w="100"/>
              <w:bottom w:type="dxa" w:w="60"/>
              <w:right w:type="dxa" w:w="100"/>
            </w:tcMar>
          </w:tcPr>
          <w:p>
            <w:pPr>
              <w:jc w:val="left"/>
            </w:pPr>
            <w:r>
              <w:rPr>
                <w:b w:val="false"/>
                <w:bCs w:val="false"/>
                <w:color w:val="000000"/>
              </w:rPr>
              <w:t xml:space="preserve">Kazookles</w:t>
            </w:r>
          </w:p>
        </w:tc>
        <w:tc>
          <w:tcPr>
            <w:tcW w:type="dxa" w:w="2400"/>
            <w:shd w:fill="F7F1E8" w:val="clear"/>
            <w:tcMar>
              <w:top w:type="dxa" w:w="60"/>
              <w:left w:type="dxa" w:w="100"/>
              <w:bottom w:type="dxa" w:w="60"/>
              <w:right w:type="dxa" w:w="100"/>
            </w:tcMar>
          </w:tcPr>
          <w:p>
            <w:pPr>
              <w:jc w:val="left"/>
            </w:pPr>
            <w:r>
              <w:rPr>
                <w:b w:val="false"/>
                <w:bCs w:val="false"/>
                <w:color w:val="000000"/>
              </w:rPr>
              <w:t xml:space="preserve">92.3%</w:t>
            </w:r>
          </w:p>
        </w:tc>
        <w:tc>
          <w:tcPr>
            <w:tcW w:type="dxa" w:w="2200"/>
            <w:shd w:fill="F7F1E8" w:val="clear"/>
            <w:tcMar>
              <w:top w:type="dxa" w:w="60"/>
              <w:left w:type="dxa" w:w="100"/>
              <w:bottom w:type="dxa" w:w="60"/>
              <w:right w:type="dxa" w:w="100"/>
            </w:tcMar>
          </w:tcPr>
          <w:p>
            <w:pPr>
              <w:jc w:val="left"/>
            </w:pPr>
            <w:r>
              <w:rPr>
                <w:b w:val="false"/>
                <w:bCs w:val="false"/>
                <w:color w:val="000000"/>
              </w:rPr>
              <w:t xml:space="preserve">7.7%</w:t>
            </w:r>
          </w:p>
        </w:tc>
        <w:tc>
          <w:tcPr>
            <w:tcW w:type="dxa" w:w="2200"/>
            <w:shd w:fill="F7F1E8" w:val="clear"/>
            <w:tcMar>
              <w:top w:type="dxa" w:w="60"/>
              <w:left w:type="dxa" w:w="100"/>
              <w:bottom w:type="dxa" w:w="60"/>
              <w:right w:type="dxa" w:w="100"/>
            </w:tcMar>
          </w:tcPr>
          <w:p>
            <w:pPr>
              <w:jc w:val="left"/>
            </w:pPr>
            <w:r>
              <w:rPr>
                <w:b w:val="false"/>
                <w:bCs w:val="false"/>
                <w:color w:val="000000"/>
              </w:rPr>
              <w:t xml:space="preserve">$1,205.75</w:t>
            </w:r>
          </w:p>
        </w:tc>
      </w:tr>
      <w:tr>
        <w:tc>
          <w:tcPr>
            <w:tcW w:type="dxa" w:w="2600"/>
            <w:shd w:fill="FFFFFF" w:val="clear"/>
            <w:tcMar>
              <w:top w:type="dxa" w:w="60"/>
              <w:left w:type="dxa" w:w="100"/>
              <w:bottom w:type="dxa" w:w="60"/>
              <w:right w:type="dxa" w:w="100"/>
            </w:tcMar>
          </w:tcPr>
          <w:p>
            <w:pPr>
              <w:jc w:val="left"/>
            </w:pPr>
            <w:r>
              <w:rPr>
                <w:b w:val="false"/>
                <w:bCs w:val="false"/>
                <w:color w:val="000000"/>
              </w:rPr>
              <w:t xml:space="preserve">Fun Dip</w:t>
            </w:r>
          </w:p>
        </w:tc>
        <w:tc>
          <w:tcPr>
            <w:tcW w:type="dxa" w:w="2400"/>
            <w:shd w:fill="FFFFFF" w:val="clear"/>
            <w:tcMar>
              <w:top w:type="dxa" w:w="60"/>
              <w:left w:type="dxa" w:w="100"/>
              <w:bottom w:type="dxa" w:w="60"/>
              <w:right w:type="dxa" w:w="100"/>
            </w:tcMar>
          </w:tcPr>
          <w:p>
            <w:pPr>
              <w:jc w:val="left"/>
            </w:pPr>
            <w:r>
              <w:rPr>
                <w:b w:val="false"/>
                <w:bCs w:val="false"/>
                <w:color w:val="000000"/>
              </w:rPr>
              <w:t xml:space="preserve">60.0%</w:t>
            </w:r>
          </w:p>
        </w:tc>
        <w:tc>
          <w:tcPr>
            <w:tcW w:type="dxa" w:w="2200"/>
            <w:shd w:fill="FFFFFF" w:val="clear"/>
            <w:tcMar>
              <w:top w:type="dxa" w:w="60"/>
              <w:left w:type="dxa" w:w="100"/>
              <w:bottom w:type="dxa" w:w="60"/>
              <w:right w:type="dxa" w:w="100"/>
            </w:tcMar>
          </w:tcPr>
          <w:p>
            <w:pPr>
              <w:jc w:val="left"/>
            </w:pPr>
            <w:r>
              <w:rPr>
                <w:b w:val="false"/>
                <w:bCs w:val="false"/>
                <w:color w:val="000000"/>
              </w:rPr>
              <w:t xml:space="preserve">40.0%</w:t>
            </w:r>
          </w:p>
        </w:tc>
        <w:tc>
          <w:tcPr>
            <w:tcW w:type="dxa" w:w="2200"/>
            <w:shd w:fill="FFFFFF" w:val="clear"/>
            <w:tcMar>
              <w:top w:type="dxa" w:w="60"/>
              <w:left w:type="dxa" w:w="100"/>
              <w:bottom w:type="dxa" w:w="60"/>
              <w:right w:type="dxa" w:w="100"/>
            </w:tcMar>
          </w:tcPr>
          <w:p>
            <w:pPr>
              <w:jc w:val="left"/>
            </w:pPr>
            <w:r>
              <w:rPr>
                <w:b w:val="false"/>
                <w:bCs w:val="false"/>
                <w:color w:val="000000"/>
              </w:rPr>
              <w:t xml:space="preserve">$12.00</w:t>
            </w:r>
          </w:p>
        </w:tc>
      </w:tr>
    </w:tbl>
    <w:p>
      <w:pPr>
        <w:spacing w:after="160"/>
      </w:pPr>
      <w:r>
        <w:t xml:space="preserve">Kazookles is the priority action item in this entire analysis: it combines meaningful sales volume with a cost structure that consumes 92 cents of every sales dollar. Recommended next steps are, in order of preference: (1) renegotiate factory cost with The Other Factory, its sole sourcing plant; (2) reprice the product upward if market conditions allow, given its low current margin leaves substantial room; or (3) formally review it for discontinuation if neither lever is available. Fun Dip's cost ratio is also elevated but its total sales are immaterial ($12 over two years), making it a low-priority rationalization candidate rather than a repricing project.</w:t>
      </w:r>
    </w:p>
    <w:p>
      <w:pPr>
        <w:spacing w:after="60" w:before="120"/>
        <w:jc w:val="center"/>
      </w:pPr>
      <w:r>
        <w:drawing>
          <wp:inline distT="0" distB="0" distL="0" distR="0">
            <wp:extent cx="5334000" cy="40789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078941"/>
                    </a:xfrm>
                    <a:prstGeom prst="rect">
                      <a:avLst/>
                    </a:prstGeom>
                  </pic:spPr>
                </pic:pic>
              </a:graphicData>
            </a:graphic>
          </wp:inline>
        </w:drawing>
      </w:r>
    </w:p>
    <w:p>
      <w:pPr>
        <w:spacing w:after="240"/>
        <w:jc w:val="center"/>
      </w:pPr>
      <w:r>
        <w:rPr>
          <w:i/>
          <w:iCs/>
          <w:color w:val="6b5d52"/>
          <w:sz w:val="18"/>
          <w:szCs w:val="18"/>
        </w:rPr>
        <w:t xml:space="preserve">Figure 9. Order-level Cost vs. Sales, colored by division. Points closer to the dashed break-even line represent lower-margin transactions; the Other division (blue) sits visibly closer to break-even than Chocolate (brown).</w:t>
      </w:r>
    </w:p>
    <w:p>
      <w:pPr>
        <w:pStyle w:val="Heading2"/>
        <w:spacing w:after="120" w:before="240"/>
      </w:pPr>
      <w:r>
        <w:t xml:space="preserve">7.1 Factory Sourcing Rollup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400"/>
        <w:gridCol w:w="2200"/>
      </w:tblGrid>
      <w:tr>
        <w:trPr>
          <w:tblHeader/>
        </w:trPr>
        <w:tc>
          <w:tcPr>
            <w:tcW w:type="dxa" w:w="2400"/>
            <w:shd w:fill="5B3A29" w:val="clear"/>
            <w:tcMar>
              <w:top w:type="dxa" w:w="60"/>
              <w:left w:type="dxa" w:w="100"/>
              <w:bottom w:type="dxa" w:w="60"/>
              <w:right w:type="dxa" w:w="100"/>
            </w:tcMar>
          </w:tcPr>
          <w:p>
            <w:pPr>
              <w:jc w:val="left"/>
            </w:pPr>
            <w:r>
              <w:rPr>
                <w:b/>
                <w:bCs/>
                <w:color w:val="FFFFFF"/>
              </w:rPr>
              <w:t xml:space="preserve">Factory</w:t>
            </w:r>
          </w:p>
        </w:tc>
        <w:tc>
          <w:tcPr>
            <w:tcW w:type="dxa" w:w="1800"/>
            <w:shd w:fill="5B3A29" w:val="clear"/>
            <w:tcMar>
              <w:top w:type="dxa" w:w="60"/>
              <w:left w:type="dxa" w:w="100"/>
              <w:bottom w:type="dxa" w:w="60"/>
              <w:right w:type="dxa" w:w="100"/>
            </w:tcMar>
          </w:tcPr>
          <w:p>
            <w:pPr>
              <w:jc w:val="left"/>
            </w:pPr>
            <w:r>
              <w:rPr>
                <w:b/>
                <w:bCs/>
                <w:color w:val="FFFFFF"/>
              </w:rPr>
              <w:t xml:space="preserve">Sales</w:t>
            </w:r>
          </w:p>
        </w:tc>
        <w:tc>
          <w:tcPr>
            <w:tcW w:type="dxa" w:w="1800"/>
            <w:shd w:fill="5B3A29" w:val="clear"/>
            <w:tcMar>
              <w:top w:type="dxa" w:w="60"/>
              <w:left w:type="dxa" w:w="100"/>
              <w:bottom w:type="dxa" w:w="60"/>
              <w:right w:type="dxa" w:w="100"/>
            </w:tcMar>
          </w:tcPr>
          <w:p>
            <w:pPr>
              <w:jc w:val="left"/>
            </w:pPr>
            <w:r>
              <w:rPr>
                <w:b/>
                <w:bCs/>
                <w:color w:val="FFFFFF"/>
              </w:rPr>
              <w:t xml:space="preserve">Gross Profit</w:t>
            </w:r>
          </w:p>
        </w:tc>
        <w:tc>
          <w:tcPr>
            <w:tcW w:type="dxa" w:w="1400"/>
            <w:shd w:fill="5B3A29" w:val="clear"/>
            <w:tcMar>
              <w:top w:type="dxa" w:w="60"/>
              <w:left w:type="dxa" w:w="100"/>
              <w:bottom w:type="dxa" w:w="60"/>
              <w:right w:type="dxa" w:w="100"/>
            </w:tcMar>
          </w:tcPr>
          <w:p>
            <w:pPr>
              <w:jc w:val="left"/>
            </w:pPr>
            <w:r>
              <w:rPr>
                <w:b/>
                <w:bCs/>
                <w:color w:val="FFFFFF"/>
              </w:rPr>
              <w:t xml:space="preserve">Margin %</w:t>
            </w:r>
          </w:p>
        </w:tc>
        <w:tc>
          <w:tcPr>
            <w:tcW w:type="dxa" w:w="2200"/>
            <w:shd w:fill="5B3A29" w:val="clear"/>
            <w:tcMar>
              <w:top w:type="dxa" w:w="60"/>
              <w:left w:type="dxa" w:w="100"/>
              <w:bottom w:type="dxa" w:w="60"/>
              <w:right w:type="dxa" w:w="100"/>
            </w:tcMar>
          </w:tcPr>
          <w:p>
            <w:pPr>
              <w:jc w:val="left"/>
            </w:pPr>
            <w:r>
              <w:rPr>
                <w:b/>
                <w:bCs/>
                <w:color w:val="FFFFFF"/>
              </w:rPr>
              <w:t xml:space="preserve">Products Sourced</w:t>
            </w:r>
          </w:p>
        </w:tc>
      </w:tr>
      <w:tr>
        <w:tc>
          <w:tcPr>
            <w:tcW w:type="dxa" w:w="2400"/>
            <w:shd w:fill="F7F1E8" w:val="clear"/>
            <w:tcMar>
              <w:top w:type="dxa" w:w="60"/>
              <w:left w:type="dxa" w:w="100"/>
              <w:bottom w:type="dxa" w:w="60"/>
              <w:right w:type="dxa" w:w="100"/>
            </w:tcMar>
          </w:tcPr>
          <w:p>
            <w:pPr>
              <w:jc w:val="left"/>
            </w:pPr>
            <w:r>
              <w:rPr>
                <w:b w:val="false"/>
                <w:bCs w:val="false"/>
                <w:color w:val="000000"/>
              </w:rPr>
              <w:t xml:space="preserve">Lot's O' Nuts</w:t>
            </w:r>
          </w:p>
        </w:tc>
        <w:tc>
          <w:tcPr>
            <w:tcW w:type="dxa" w:w="1800"/>
            <w:shd w:fill="F7F1E8" w:val="clear"/>
            <w:tcMar>
              <w:top w:type="dxa" w:w="60"/>
              <w:left w:type="dxa" w:w="100"/>
              <w:bottom w:type="dxa" w:w="60"/>
              <w:right w:type="dxa" w:w="100"/>
            </w:tcMar>
          </w:tcPr>
          <w:p>
            <w:pPr>
              <w:jc w:val="left"/>
            </w:pPr>
            <w:r>
              <w:rPr>
                <w:b w:val="false"/>
                <w:bCs w:val="false"/>
                <w:color w:val="000000"/>
              </w:rPr>
              <w:t xml:space="preserve">$76,283.10</w:t>
            </w:r>
          </w:p>
        </w:tc>
        <w:tc>
          <w:tcPr>
            <w:tcW w:type="dxa" w:w="1800"/>
            <w:shd w:fill="F7F1E8" w:val="clear"/>
            <w:tcMar>
              <w:top w:type="dxa" w:w="60"/>
              <w:left w:type="dxa" w:w="100"/>
              <w:bottom w:type="dxa" w:w="60"/>
              <w:right w:type="dxa" w:w="100"/>
            </w:tcMar>
          </w:tcPr>
          <w:p>
            <w:pPr>
              <w:jc w:val="left"/>
            </w:pPr>
            <w:r>
              <w:rPr>
                <w:b w:val="false"/>
                <w:bCs w:val="false"/>
                <w:color w:val="000000"/>
              </w:rPr>
              <w:t xml:space="preserve">$52,731.60</w:t>
            </w:r>
          </w:p>
        </w:tc>
        <w:tc>
          <w:tcPr>
            <w:tcW w:type="dxa" w:w="1400"/>
            <w:shd w:fill="F7F1E8" w:val="clear"/>
            <w:tcMar>
              <w:top w:type="dxa" w:w="60"/>
              <w:left w:type="dxa" w:w="100"/>
              <w:bottom w:type="dxa" w:w="60"/>
              <w:right w:type="dxa" w:w="100"/>
            </w:tcMar>
          </w:tcPr>
          <w:p>
            <w:pPr>
              <w:jc w:val="left"/>
            </w:pPr>
            <w:r>
              <w:rPr>
                <w:b w:val="false"/>
                <w:bCs w:val="false"/>
                <w:color w:val="000000"/>
              </w:rPr>
              <w:t xml:space="preserve">69.1%</w:t>
            </w:r>
          </w:p>
        </w:tc>
        <w:tc>
          <w:tcPr>
            <w:tcW w:type="dxa" w:w="2200"/>
            <w:shd w:fill="F7F1E8" w:val="clear"/>
            <w:tcMar>
              <w:top w:type="dxa" w:w="60"/>
              <w:left w:type="dxa" w:w="100"/>
              <w:bottom w:type="dxa" w:w="60"/>
              <w:right w:type="dxa" w:w="100"/>
            </w:tcMar>
          </w:tcPr>
          <w:p>
            <w:pPr>
              <w:jc w:val="left"/>
            </w:pPr>
            <w:r>
              <w:rPr>
                <w:b w:val="false"/>
                <w:bCs w:val="false"/>
                <w:color w:val="000000"/>
              </w:rPr>
              <w:t xml:space="preserve">3</w:t>
            </w:r>
          </w:p>
        </w:tc>
      </w:tr>
      <w:tr>
        <w:tc>
          <w:tcPr>
            <w:tcW w:type="dxa" w:w="2400"/>
            <w:shd w:fill="FFFFFF" w:val="clear"/>
            <w:tcMar>
              <w:top w:type="dxa" w:w="60"/>
              <w:left w:type="dxa" w:w="100"/>
              <w:bottom w:type="dxa" w:w="60"/>
              <w:right w:type="dxa" w:w="100"/>
            </w:tcMar>
          </w:tcPr>
          <w:p>
            <w:pPr>
              <w:jc w:val="left"/>
            </w:pPr>
            <w:r>
              <w:rPr>
                <w:b w:val="false"/>
                <w:bCs w:val="false"/>
                <w:color w:val="000000"/>
              </w:rPr>
              <w:t xml:space="preserve">Wicked Choccy's</w:t>
            </w:r>
          </w:p>
        </w:tc>
        <w:tc>
          <w:tcPr>
            <w:tcW w:type="dxa" w:w="1800"/>
            <w:shd w:fill="FFFFFF" w:val="clear"/>
            <w:tcMar>
              <w:top w:type="dxa" w:w="60"/>
              <w:left w:type="dxa" w:w="100"/>
              <w:bottom w:type="dxa" w:w="60"/>
              <w:right w:type="dxa" w:w="100"/>
            </w:tcMar>
          </w:tcPr>
          <w:p>
            <w:pPr>
              <w:jc w:val="left"/>
            </w:pPr>
            <w:r>
              <w:rPr>
                <w:b w:val="false"/>
                <w:bCs w:val="false"/>
                <w:color w:val="000000"/>
              </w:rPr>
              <w:t xml:space="preserve">$55,271.75</w:t>
            </w:r>
          </w:p>
        </w:tc>
        <w:tc>
          <w:tcPr>
            <w:tcW w:type="dxa" w:w="1800"/>
            <w:shd w:fill="FFFFFF" w:val="clear"/>
            <w:tcMar>
              <w:top w:type="dxa" w:w="60"/>
              <w:left w:type="dxa" w:w="100"/>
              <w:bottom w:type="dxa" w:w="60"/>
              <w:right w:type="dxa" w:w="100"/>
            </w:tcMar>
          </w:tcPr>
          <w:p>
            <w:pPr>
              <w:jc w:val="left"/>
            </w:pPr>
            <w:r>
              <w:rPr>
                <w:b w:val="false"/>
                <w:bCs w:val="false"/>
                <w:color w:val="000000"/>
              </w:rPr>
              <w:t xml:space="preserve">$36,000.89</w:t>
            </w:r>
          </w:p>
        </w:tc>
        <w:tc>
          <w:tcPr>
            <w:tcW w:type="dxa" w:w="1400"/>
            <w:shd w:fill="FFFFFF" w:val="clear"/>
            <w:tcMar>
              <w:top w:type="dxa" w:w="60"/>
              <w:left w:type="dxa" w:w="100"/>
              <w:bottom w:type="dxa" w:w="60"/>
              <w:right w:type="dxa" w:w="100"/>
            </w:tcMar>
          </w:tcPr>
          <w:p>
            <w:pPr>
              <w:jc w:val="left"/>
            </w:pPr>
            <w:r>
              <w:rPr>
                <w:b w:val="false"/>
                <w:bCs w:val="false"/>
                <w:color w:val="000000"/>
              </w:rPr>
              <w:t xml:space="preserve">65.1%</w:t>
            </w:r>
          </w:p>
        </w:tc>
        <w:tc>
          <w:tcPr>
            <w:tcW w:type="dxa" w:w="2200"/>
            <w:shd w:fill="FFFFFF" w:val="clear"/>
            <w:tcMar>
              <w:top w:type="dxa" w:w="60"/>
              <w:left w:type="dxa" w:w="100"/>
              <w:bottom w:type="dxa" w:w="60"/>
              <w:right w:type="dxa" w:w="100"/>
            </w:tcMar>
          </w:tcPr>
          <w:p>
            <w:pPr>
              <w:jc w:val="left"/>
            </w:pPr>
            <w:r>
              <w:rPr>
                <w:b w:val="false"/>
                <w:bCs w:val="false"/>
                <w:color w:val="000000"/>
              </w:rPr>
              <w:t xml:space="preserve">2</w:t>
            </w:r>
          </w:p>
        </w:tc>
      </w:tr>
      <w:tr>
        <w:tc>
          <w:tcPr>
            <w:tcW w:type="dxa" w:w="2400"/>
            <w:shd w:fill="F7F1E8" w:val="clear"/>
            <w:tcMar>
              <w:top w:type="dxa" w:w="60"/>
              <w:left w:type="dxa" w:w="100"/>
              <w:bottom w:type="dxa" w:w="60"/>
              <w:right w:type="dxa" w:w="100"/>
            </w:tcMar>
          </w:tcPr>
          <w:p>
            <w:pPr>
              <w:jc w:val="left"/>
            </w:pPr>
            <w:r>
              <w:rPr>
                <w:b w:val="false"/>
                <w:bCs w:val="false"/>
                <w:color w:val="000000"/>
              </w:rPr>
              <w:t xml:space="preserve">Secret Factory</w:t>
            </w:r>
          </w:p>
        </w:tc>
        <w:tc>
          <w:tcPr>
            <w:tcW w:type="dxa" w:w="1800"/>
            <w:shd w:fill="F7F1E8" w:val="clear"/>
            <w:tcMar>
              <w:top w:type="dxa" w:w="60"/>
              <w:left w:type="dxa" w:w="100"/>
              <w:bottom w:type="dxa" w:w="60"/>
              <w:right w:type="dxa" w:w="100"/>
            </w:tcMar>
          </w:tcPr>
          <w:p>
            <w:pPr>
              <w:jc w:val="left"/>
            </w:pPr>
            <w:r>
              <w:rPr>
                <w:b w:val="false"/>
                <w:bCs w:val="false"/>
                <w:color w:val="000000"/>
              </w:rPr>
              <w:t xml:space="preserve">$8,587.50</w:t>
            </w:r>
          </w:p>
        </w:tc>
        <w:tc>
          <w:tcPr>
            <w:tcW w:type="dxa" w:w="1800"/>
            <w:shd w:fill="F7F1E8" w:val="clear"/>
            <w:tcMar>
              <w:top w:type="dxa" w:w="60"/>
              <w:left w:type="dxa" w:w="100"/>
              <w:bottom w:type="dxa" w:w="60"/>
              <w:right w:type="dxa" w:w="100"/>
            </w:tcMar>
          </w:tcPr>
          <w:p>
            <w:pPr>
              <w:jc w:val="left"/>
            </w:pPr>
            <w:r>
              <w:rPr>
                <w:b w:val="false"/>
                <w:bCs w:val="false"/>
                <w:color w:val="000000"/>
              </w:rPr>
              <w:t xml:space="preserve">$4,344.70</w:t>
            </w:r>
          </w:p>
        </w:tc>
        <w:tc>
          <w:tcPr>
            <w:tcW w:type="dxa" w:w="1400"/>
            <w:shd w:fill="F7F1E8" w:val="clear"/>
            <w:tcMar>
              <w:top w:type="dxa" w:w="60"/>
              <w:left w:type="dxa" w:w="100"/>
              <w:bottom w:type="dxa" w:w="60"/>
              <w:right w:type="dxa" w:w="100"/>
            </w:tcMar>
          </w:tcPr>
          <w:p>
            <w:pPr>
              <w:jc w:val="left"/>
            </w:pPr>
            <w:r>
              <w:rPr>
                <w:b w:val="false"/>
                <w:bCs w:val="false"/>
                <w:color w:val="000000"/>
              </w:rPr>
              <w:t xml:space="preserve">50.6%</w:t>
            </w:r>
          </w:p>
        </w:tc>
        <w:tc>
          <w:tcPr>
            <w:tcW w:type="dxa" w:w="2200"/>
            <w:shd w:fill="F7F1E8" w:val="clear"/>
            <w:tcMar>
              <w:top w:type="dxa" w:w="60"/>
              <w:left w:type="dxa" w:w="100"/>
              <w:bottom w:type="dxa" w:w="60"/>
              <w:right w:type="dxa" w:w="100"/>
            </w:tcMar>
          </w:tcPr>
          <w:p>
            <w:pPr>
              <w:jc w:val="left"/>
            </w:pPr>
            <w:r>
              <w:rPr>
                <w:b w:val="false"/>
                <w:bCs w:val="false"/>
                <w:color w:val="000000"/>
              </w:rPr>
              <w:t xml:space="preserve">3</w:t>
            </w:r>
          </w:p>
        </w:tc>
      </w:tr>
      <w:tr>
        <w:tc>
          <w:tcPr>
            <w:tcW w:type="dxa" w:w="2400"/>
            <w:shd w:fill="FFFFFF" w:val="clear"/>
            <w:tcMar>
              <w:top w:type="dxa" w:w="60"/>
              <w:left w:type="dxa" w:w="100"/>
              <w:bottom w:type="dxa" w:w="60"/>
              <w:right w:type="dxa" w:w="100"/>
            </w:tcMar>
          </w:tcPr>
          <w:p>
            <w:pPr>
              <w:jc w:val="left"/>
            </w:pPr>
            <w:r>
              <w:rPr>
                <w:b w:val="false"/>
                <w:bCs w:val="false"/>
                <w:color w:val="000000"/>
              </w:rPr>
              <w:t xml:space="preserve">The Other Factory</w:t>
            </w:r>
          </w:p>
        </w:tc>
        <w:tc>
          <w:tcPr>
            <w:tcW w:type="dxa" w:w="1800"/>
            <w:shd w:fill="FFFFFF" w:val="clear"/>
            <w:tcMar>
              <w:top w:type="dxa" w:w="60"/>
              <w:left w:type="dxa" w:w="100"/>
              <w:bottom w:type="dxa" w:w="60"/>
              <w:right w:type="dxa" w:w="100"/>
            </w:tcMar>
          </w:tcPr>
          <w:p>
            <w:pPr>
              <w:jc w:val="left"/>
            </w:pPr>
            <w:r>
              <w:rPr>
                <w:b w:val="false"/>
                <w:bCs w:val="false"/>
                <w:color w:val="000000"/>
              </w:rPr>
              <w:t xml:space="preserve">$1,282.25</w:t>
            </w:r>
          </w:p>
        </w:tc>
        <w:tc>
          <w:tcPr>
            <w:tcW w:type="dxa" w:w="1800"/>
            <w:shd w:fill="FFFFFF" w:val="clear"/>
            <w:tcMar>
              <w:top w:type="dxa" w:w="60"/>
              <w:left w:type="dxa" w:w="100"/>
              <w:bottom w:type="dxa" w:w="60"/>
              <w:right w:type="dxa" w:w="100"/>
            </w:tcMar>
          </w:tcPr>
          <w:p>
            <w:pPr>
              <w:jc w:val="left"/>
            </w:pPr>
            <w:r>
              <w:rPr>
                <w:b w:val="false"/>
                <w:bCs w:val="false"/>
                <w:color w:val="000000"/>
              </w:rPr>
              <w:t xml:space="preserve">$152.25</w:t>
            </w:r>
          </w:p>
        </w:tc>
        <w:tc>
          <w:tcPr>
            <w:tcW w:type="dxa" w:w="1400"/>
            <w:shd w:fill="FFFFFF" w:val="clear"/>
            <w:tcMar>
              <w:top w:type="dxa" w:w="60"/>
              <w:left w:type="dxa" w:w="100"/>
              <w:bottom w:type="dxa" w:w="60"/>
              <w:right w:type="dxa" w:w="100"/>
            </w:tcMar>
          </w:tcPr>
          <w:p>
            <w:pPr>
              <w:jc w:val="left"/>
            </w:pPr>
            <w:r>
              <w:rPr>
                <w:b w:val="false"/>
                <w:bCs w:val="false"/>
                <w:color w:val="000000"/>
              </w:rPr>
              <w:t xml:space="preserve">11.9%</w:t>
            </w:r>
          </w:p>
        </w:tc>
        <w:tc>
          <w:tcPr>
            <w:tcW w:type="dxa" w:w="2200"/>
            <w:shd w:fill="FFFFFF" w:val="clear"/>
            <w:tcMar>
              <w:top w:type="dxa" w:w="60"/>
              <w:left w:type="dxa" w:w="100"/>
              <w:bottom w:type="dxa" w:w="60"/>
              <w:right w:type="dxa" w:w="100"/>
            </w:tcMar>
          </w:tcPr>
          <w:p>
            <w:pPr>
              <w:jc w:val="left"/>
            </w:pPr>
            <w:r>
              <w:rPr>
                <w:b w:val="false"/>
                <w:bCs w:val="false"/>
                <w:color w:val="000000"/>
              </w:rPr>
              <w:t xml:space="preserve">2</w:t>
            </w:r>
          </w:p>
        </w:tc>
      </w:tr>
      <w:tr>
        <w:tc>
          <w:tcPr>
            <w:tcW w:type="dxa" w:w="2400"/>
            <w:shd w:fill="F7F1E8" w:val="clear"/>
            <w:tcMar>
              <w:top w:type="dxa" w:w="60"/>
              <w:left w:type="dxa" w:w="100"/>
              <w:bottom w:type="dxa" w:w="60"/>
              <w:right w:type="dxa" w:w="100"/>
            </w:tcMar>
          </w:tcPr>
          <w:p>
            <w:pPr>
              <w:jc w:val="left"/>
            </w:pPr>
            <w:r>
              <w:rPr>
                <w:b w:val="false"/>
                <w:bCs w:val="false"/>
                <w:color w:val="000000"/>
              </w:rPr>
              <w:t xml:space="preserve">Sugar Shack</w:t>
            </w:r>
          </w:p>
        </w:tc>
        <w:tc>
          <w:tcPr>
            <w:tcW w:type="dxa" w:w="1800"/>
            <w:shd w:fill="F7F1E8" w:val="clear"/>
            <w:tcMar>
              <w:top w:type="dxa" w:w="60"/>
              <w:left w:type="dxa" w:w="100"/>
              <w:bottom w:type="dxa" w:w="60"/>
              <w:right w:type="dxa" w:w="100"/>
            </w:tcMar>
          </w:tcPr>
          <w:p>
            <w:pPr>
              <w:jc w:val="left"/>
            </w:pPr>
            <w:r>
              <w:rPr>
                <w:b w:val="false"/>
                <w:bCs w:val="false"/>
                <w:color w:val="000000"/>
              </w:rPr>
              <w:t xml:space="preserve">$220.98</w:t>
            </w:r>
          </w:p>
        </w:tc>
        <w:tc>
          <w:tcPr>
            <w:tcW w:type="dxa" w:w="1800"/>
            <w:shd w:fill="F7F1E8" w:val="clear"/>
            <w:tcMar>
              <w:top w:type="dxa" w:w="60"/>
              <w:left w:type="dxa" w:w="100"/>
              <w:bottom w:type="dxa" w:w="60"/>
              <w:right w:type="dxa" w:w="100"/>
            </w:tcMar>
          </w:tcPr>
          <w:p>
            <w:pPr>
              <w:jc w:val="left"/>
            </w:pPr>
            <w:r>
              <w:rPr>
                <w:b w:val="false"/>
                <w:bCs w:val="false"/>
                <w:color w:val="000000"/>
              </w:rPr>
              <w:t xml:space="preserve">$121.23</w:t>
            </w:r>
          </w:p>
        </w:tc>
        <w:tc>
          <w:tcPr>
            <w:tcW w:type="dxa" w:w="1400"/>
            <w:shd w:fill="F7F1E8" w:val="clear"/>
            <w:tcMar>
              <w:top w:type="dxa" w:w="60"/>
              <w:left w:type="dxa" w:w="100"/>
              <w:bottom w:type="dxa" w:w="60"/>
              <w:right w:type="dxa" w:w="100"/>
            </w:tcMar>
          </w:tcPr>
          <w:p>
            <w:pPr>
              <w:jc w:val="left"/>
            </w:pPr>
            <w:r>
              <w:rPr>
                <w:b w:val="false"/>
                <w:bCs w:val="false"/>
                <w:color w:val="000000"/>
              </w:rPr>
              <w:t xml:space="preserve">54.9%</w:t>
            </w:r>
          </w:p>
        </w:tc>
        <w:tc>
          <w:tcPr>
            <w:tcW w:type="dxa" w:w="2200"/>
            <w:shd w:fill="F7F1E8" w:val="clear"/>
            <w:tcMar>
              <w:top w:type="dxa" w:w="60"/>
              <w:left w:type="dxa" w:w="100"/>
              <w:bottom w:type="dxa" w:w="60"/>
              <w:right w:type="dxa" w:w="100"/>
            </w:tcMar>
          </w:tcPr>
          <w:p>
            <w:pPr>
              <w:jc w:val="left"/>
            </w:pPr>
            <w:r>
              <w:rPr>
                <w:b w:val="false"/>
                <w:bCs w:val="false"/>
                <w:color w:val="000000"/>
              </w:rPr>
              <w:t xml:space="preserve">5</w:t>
            </w:r>
          </w:p>
        </w:tc>
      </w:tr>
    </w:tbl>
    <w:p>
      <w:pPr>
        <w:spacing w:after="160"/>
      </w:pPr>
      <w:r>
        <w:t xml:space="preserve">The Other Factory (sourcing Hair Toffee and Kazookles) has by far the weakest blended margin of any sourcing plant, at 11.9% — driven almost entirely by Kazookles. This strengthens the case that Kazookles's margin problem is a sourcing/cost issue rather than a demand or pricing issue in isolation, since Hair Toffee, from the same factory, carries a healthy 77.8% margin.</w:t>
      </w:r>
    </w:p>
    <w:p>
      <w:pPr>
        <w:pStyle w:val="Heading1"/>
        <w:spacing w:after="160" w:before="320"/>
      </w:pPr>
      <w:r>
        <w:t xml:space="preserve">8. Recommendations</w:t>
      </w:r>
    </w:p>
    <w:p>
      <w:pPr>
        <w:pStyle w:val="Heading2"/>
        <w:spacing w:after="120" w:before="240"/>
      </w:pPr>
      <w:r>
        <w:t xml:space="preserve">8.1 Protect and invest in the core</w:t>
      </w:r>
    </w:p>
    <w:p>
      <w:pPr>
        <w:pStyle w:val="ListParagraph"/>
        <w:numPr>
          <w:ilvl w:val="0"/>
          <w:numId w:val="1"/>
        </w:numPr>
        <w:spacing w:after="80"/>
      </w:pPr>
      <w:r>
        <w:t xml:space="preserve">Prioritize supply continuity, shelf placement, and promotional spend on the five Chocolate Wonka Bar SKUs — they generate 95% of profit and should not be treated as “mature” products competing equally for resources against the long tail.</w:t>
      </w:r>
    </w:p>
    <w:p>
      <w:pPr>
        <w:pStyle w:val="Heading2"/>
        <w:spacing w:after="120" w:before="240"/>
      </w:pPr>
      <w:r>
        <w:t xml:space="preserve">8.2 Fix Kazookles immediately</w:t>
      </w:r>
    </w:p>
    <w:p>
      <w:pPr>
        <w:pStyle w:val="ListParagraph"/>
        <w:numPr>
          <w:ilvl w:val="0"/>
          <w:numId w:val="1"/>
        </w:numPr>
        <w:spacing w:after="80"/>
      </w:pPr>
      <w:r>
        <w:t xml:space="preserve">Open a cost renegotiation with The Other Factory on Kazookles pricing, or evaluate an alternate sourcing plant given Lot's O' Nuts and Wicked Choccy's demonstrate much stronger cost efficiency.</w:t>
      </w:r>
    </w:p>
    <w:p>
      <w:pPr>
        <w:pStyle w:val="ListParagraph"/>
        <w:numPr>
          <w:ilvl w:val="0"/>
          <w:numId w:val="1"/>
        </w:numPr>
        <w:spacing w:after="80"/>
      </w:pPr>
      <w:r>
        <w:t xml:space="preserve">If cost cannot be reduced, test a price increase — current margin (7.7%) leaves wide room before the product would become uncompetitive on price versus its category peers.</w:t>
      </w:r>
    </w:p>
    <w:p>
      <w:pPr>
        <w:pStyle w:val="ListParagraph"/>
        <w:numPr>
          <w:ilvl w:val="0"/>
          <w:numId w:val="1"/>
        </w:numPr>
        <w:spacing w:after="80"/>
      </w:pPr>
      <w:r>
        <w:t xml:space="preserve">If neither lever is viable within a defined review window, recommend formal discontinuation.</w:t>
      </w:r>
    </w:p>
    <w:p>
      <w:pPr>
        <w:pStyle w:val="Heading2"/>
        <w:spacing w:after="120" w:before="240"/>
      </w:pPr>
      <w:r>
        <w:t xml:space="preserve">8.3 Reprice or review the Other division</w:t>
      </w:r>
    </w:p>
    <w:p>
      <w:pPr>
        <w:pStyle w:val="ListParagraph"/>
        <w:numPr>
          <w:ilvl w:val="0"/>
          <w:numId w:val="1"/>
        </w:numPr>
        <w:spacing w:after="80"/>
      </w:pPr>
      <w:r>
        <w:t xml:space="preserve">Lickable Wallpaper and Wonka Gum sit in the Volume Trap quadrant; a targeted price or cost review (even a few points of margin improvement) has outsized impact given Lickable Wallpaper's relatively large revenue base.</w:t>
      </w:r>
    </w:p>
    <w:p>
      <w:pPr>
        <w:pStyle w:val="Heading2"/>
        <w:spacing w:after="120" w:before="240"/>
      </w:pPr>
      <w:r>
        <w:t xml:space="preserve">8.4 Rationalize the long tail</w:t>
      </w:r>
    </w:p>
    <w:p>
      <w:pPr>
        <w:pStyle w:val="ListParagraph"/>
        <w:numPr>
          <w:ilvl w:val="0"/>
          <w:numId w:val="1"/>
        </w:numPr>
        <w:spacing w:after="80"/>
      </w:pPr>
      <w:r>
        <w:t xml:space="preserve">Fizzy Lifting Drinks, SweeTARTS, Nerds, and Fun Dip together contribute under 0.1% of profit. Consolidate or discontinue unless there is a strategic (non-financial) reason to retain them, such as anchoring a broader Sugar-division catalog for a specific retail partner.</w:t>
      </w:r>
    </w:p>
    <w:p>
      <w:pPr>
        <w:pStyle w:val="Heading2"/>
        <w:spacing w:after="120" w:before="240"/>
      </w:pPr>
      <w:r>
        <w:t xml:space="preserve">8.5 Monitor geographic concentration</w:t>
      </w:r>
    </w:p>
    <w:p>
      <w:pPr>
        <w:pStyle w:val="ListParagraph"/>
        <w:numPr>
          <w:ilvl w:val="0"/>
          <w:numId w:val="1"/>
        </w:numPr>
        <w:spacing w:after="80"/>
      </w:pPr>
      <w:r>
        <w:t xml:space="preserve">California, New York, and Texas represent an outsized share of revenue; incorporate this into regional risk planning (e.g., inventory buffers, alternate distribution routing) even though it is a lower-urgency finding than the product-level concentration.</w:t>
      </w:r>
    </w:p>
    <w:p>
      <w:pPr>
        <w:pStyle w:val="Heading2"/>
        <w:spacing w:after="120" w:before="240"/>
      </w:pPr>
      <w:r>
        <w:t xml:space="preserve">8.6 Data quality follow-up</w:t>
      </w:r>
    </w:p>
    <w:p>
      <w:pPr>
        <w:pStyle w:val="ListParagraph"/>
        <w:numPr>
          <w:ilvl w:val="0"/>
          <w:numId w:val="1"/>
        </w:numPr>
        <w:spacing w:after="80"/>
      </w:pPr>
      <w:r>
        <w:t xml:space="preserve">Investigate and correct the Ship Date generation/recording process, which currently produces implausible multi-year gaps between order and shipment — this does not affect the profitability findings in this report but would materially improve any future logistics or fulfillment analysis.</w:t>
      </w:r>
    </w:p>
    <w:p>
      <w:pPr>
        <w:pStyle w:val="Heading1"/>
        <w:spacing w:after="160" w:before="320"/>
      </w:pPr>
      <w:r>
        <w:t xml:space="preserve">9. Limitations</w:t>
      </w:r>
    </w:p>
    <w:p>
      <w:pPr>
        <w:pStyle w:val="ListParagraph"/>
        <w:numPr>
          <w:ilvl w:val="0"/>
          <w:numId w:val="1"/>
        </w:numPr>
        <w:spacing w:after="80"/>
      </w:pPr>
      <w:r>
        <w:t xml:space="preserve">Sugar and Other divisions have very small sample sizes (40 and 304 orders respectively, versus 8,205 for Chocolate); their KPIs are directionally useful but statistically less stable than Chocolate's.</w:t>
      </w:r>
    </w:p>
    <w:p>
      <w:pPr>
        <w:pStyle w:val="ListParagraph"/>
        <w:numPr>
          <w:ilvl w:val="0"/>
          <w:numId w:val="1"/>
        </w:numPr>
        <w:spacing w:after="80"/>
      </w:pPr>
      <w:r>
        <w:t xml:space="preserve">Margin volatility was computed on monthly aggregates; low-volume products (e.g. most of the Sugar division) have too few monthly observations for volatility to be a reliable signal, and should be interpreted cautiously in the dashboard.</w:t>
      </w:r>
    </w:p>
    <w:p>
      <w:pPr>
        <w:pStyle w:val="ListParagraph"/>
        <w:numPr>
          <w:ilvl w:val="0"/>
          <w:numId w:val="1"/>
        </w:numPr>
        <w:spacing w:after="80"/>
      </w:pPr>
      <w:r>
        <w:t xml:space="preserve">The analysis is a single order-level dataset without a matched prior-period baseline, so directional trend claims (e.g. “improving” or “declining” margin) are limited to the 2024–2025 window covered here.</w:t>
      </w:r>
    </w:p>
    <w:p>
      <w:pPr>
        <w:pStyle w:val="Heading1"/>
        <w:spacing w:after="160" w:before="320"/>
      </w:pPr>
      <w:r>
        <w:t xml:space="preserve">10. Conclusion</w:t>
      </w:r>
    </w:p>
    <w:p>
      <w:pPr>
        <w:spacing w:after="160"/>
      </w:pPr>
      <w:r>
        <w:t xml:space="preserve">This analysis replaces intuition with a clear, data-driven picture of where Nassau Candy actually makes money. Profitability is concentrated in five Chocolate-division products that punch above their revenue weight; the Other division — and Kazookles in particular — is where a small, targeted intervention (cost renegotiation, repricing, or discontinuation) would have an outsized positive effect on blended margin. Sugar and other long-tail products are financially immaterial today and should be evaluated as a portfolio-rationalization decision. The accompanying Streamlit dashboard operationalizes these findings so pricing, sourcing, and product-portfolio decisions can be made and monitored on an ongoing basis rather than revisited only at the next annual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52"/>
        <w:sz w:val="16"/>
        <w:szCs w:val="16"/>
      </w:rPr>
      <w:t xml:space="preserve">Page </w:t>
    </w:r>
    <w:r>
      <w:rPr>
        <w:color w:val="6b5d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5d52"/>
        <w:sz w:val="16"/>
        <w:szCs w:val="16"/>
      </w:rPr>
      <w:t xml:space="preserve">Nassau Candy — Product Line Profitability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3A29" w:sz="6" w:space="4"/>
      </w:pBdr>
      <w:spacing w:after="160" w:before="320"/>
    </w:pPr>
    <w:rPr>
      <w:rFonts w:ascii="Georgia" w:cs="Georgia" w:eastAsia="Georgia" w:hAnsi="Georgia"/>
      <w:b/>
      <w:bCs/>
      <w:color w:val="5B3A29"/>
      <w:sz w:val="30"/>
      <w:szCs w:val="30"/>
    </w:rPr>
  </w:style>
  <w:style w:type="paragraph" w:styleId="Heading2">
    <w:name w:val="Heading 2"/>
    <w:basedOn w:val="Normal"/>
    <w:next w:val="Normal"/>
    <w:qFormat/>
    <w:pPr>
      <w:spacing w:after="120" w:before="240"/>
    </w:pPr>
    <w:rPr>
      <w:rFonts w:ascii="Georgia" w:cs="Georgia" w:eastAsia="Georgia" w:hAnsi="Georgia"/>
      <w:b/>
      <w:bCs/>
      <w:color w:val="C039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634a823b7270f2357ea627a10ede4ee10ea68a.png"/><Relationship Id="rId10" Type="http://schemas.openxmlformats.org/officeDocument/2006/relationships/image" Target="media/ddcac7ce52bd8b3d647a6b613813f6152269e9bd.png"/><Relationship Id="rId11" Type="http://schemas.openxmlformats.org/officeDocument/2006/relationships/image" Target="media/05eb99d4138417e2797fef639422eafc6a03dc1d.png"/><Relationship Id="rId12" Type="http://schemas.openxmlformats.org/officeDocument/2006/relationships/image" Target="media/02401f4511b59432af9a28fafd60fbbd73f6274b.png"/><Relationship Id="rId13" Type="http://schemas.openxmlformats.org/officeDocument/2006/relationships/image" Target="media/94781730a2552ffb5329c29419fff5d2e5ef8725.png"/><Relationship Id="rId14" Type="http://schemas.openxmlformats.org/officeDocument/2006/relationships/image" Target="media/cdccc04429288026968d5d19e55ada7627901a5b.png"/><Relationship Id="rId15" Type="http://schemas.openxmlformats.org/officeDocument/2006/relationships/image" Target="media/80745ba1aeb3c0a7b3d0704cbcbd80f310748b43.png"/><Relationship Id="rId16" Type="http://schemas.openxmlformats.org/officeDocument/2006/relationships/image" Target="media/f53c0599623356eae8ba3e6162a415e0f1f771da.png"/><Relationship Id="rId17" Type="http://schemas.openxmlformats.org/officeDocument/2006/relationships/image" Target="media/47965175de9e537fdacea8c6d5d2bf5ff9f6be4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2026-07-27T07:46:44.060Z</dcterms:created>
  <dcterms:modified xsi:type="dcterms:W3CDTF">2026-07-27T07:46:44.071Z</dcterms:modified>
</cp:coreProperties>
</file>

<file path=docProps/custom.xml><?xml version="1.0" encoding="utf-8"?>
<Properties xmlns="http://schemas.openxmlformats.org/officeDocument/2006/custom-properties" xmlns:vt="http://schemas.openxmlformats.org/officeDocument/2006/docPropsVTypes"/>
</file>