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Group leakage in tabular regression benchmarks: theory, measurement and remedies</w:t>
      </w:r>
    </w:p>
    <w:p>
      <w:pPr>
        <w:pStyle w:val="Author"/>
      </w:pPr>
      <w:r>
        <w:t xml:space="preserve">[Author names to be added]</w:t>
      </w:r>
    </w:p>
    <w:p>
      <w:pPr>
        <w:pStyle w:val="Affiliation"/>
      </w:pPr>
      <w:r>
        <w:t xml:space="preserve">[Affiliations and corresponding author to be added]</w:t>
      </w:r>
    </w:p>
    <w:p>
      <w:pPr>
        <w:pStyle w:val="HeadingUnnumbered"/>
      </w:pPr>
      <w:r>
        <w:t xml:space="preserve">Highlights</w:t>
      </w:r>
    </w:p>
    <w:p>
      <w:pPr>
        <w:pStyle w:val="Compact"/>
        <w:numPr>
          <w:ilvl w:val="0"/>
          <w:numId w:val="1001"/>
        </w:numPr>
      </w:pPr>
      <w:r>
        <w:rPr>
          <w:sz w:val="20"/>
        </w:rPr>
        <w:t xml:space="preserve">Random splits overstate accuracy on UCI benchmarks that contain repeated groups</w:t>
      </w:r>
    </w:p>
    <w:p>
      <w:pPr>
        <w:pStyle w:val="Compact"/>
        <w:numPr>
          <w:ilvl w:val="0"/>
          <w:numId w:val="1001"/>
        </w:numPr>
      </w:pPr>
      <w:r>
        <w:rPr>
          <w:sz w:val="20"/>
        </w:rPr>
        <w:t xml:space="preserve">Inflation follows model capacity and the group share of the residual variance</w:t>
      </w:r>
    </w:p>
    <w:p>
      <w:pPr>
        <w:pStyle w:val="Compact"/>
        <w:numPr>
          <w:ilvl w:val="0"/>
          <w:numId w:val="1001"/>
        </w:numPr>
      </w:pPr>
      <w:r>
        <w:rPr>
          <w:sz w:val="20"/>
        </w:rPr>
        <w:t xml:space="preserve">Random inner folds in hyper-parameter tuning can triple held-out-group error</w:t>
      </w:r>
    </w:p>
    <w:p>
      <w:pPr>
        <w:pStyle w:val="Compact"/>
        <w:numPr>
          <w:ilvl w:val="0"/>
          <w:numId w:val="1001"/>
        </w:numPr>
      </w:pPr>
      <w:r>
        <w:rPr>
          <w:sz w:val="20"/>
        </w:rPr>
        <w:t xml:space="preserve">On new Parkinson’s patients, no tested model is better than the training mean</w:t>
      </w:r>
    </w:p>
    <w:p>
      <w:pPr>
        <w:pStyle w:val="Compact"/>
        <w:numPr>
          <w:ilvl w:val="0"/>
          <w:numId w:val="1001"/>
        </w:numPr>
      </w:pPr>
      <w:r>
        <w:rPr>
          <w:sz w:val="20"/>
        </w:rPr>
        <w:t xml:space="preserve">A group-held-out checklist with a no-skill baseline is proposed</w:t>
      </w:r>
    </w:p>
    <w:p>
      <w:pPr>
        <w:pStyle w:val="HeadingUnnumbered"/>
      </w:pPr>
      <w:r>
        <w:t xml:space="preserve">Abstract</w:t>
      </w:r>
    </w:p>
    <w:p>
      <w:pPr>
        <w:pStyle w:val="BodyText"/>
      </w:pPr>
      <w:r>
        <w:t xml:space="preserve">Public tabular benchmarks often contain groups of near-identical rows (repeated building geometries, concrete mixes tested at several ages, recordings from the same patient), yet models are usually evaluated with random train–test splits that place members of the same group on both sides. We study how much this inflates accuracy on three widely used datasets (UCI Energy Efficiency with 12 geometries, Concrete Compressive Strength with 427 mixes, Parkinson’s Telemonitoring with 42 patients) using five model families, matched nested tuning and group-held-out validation. A random-effects model predicts the inflation of a learner that memorises group offsets as</w:t>
      </w:r>
      <w:r>
        <w:t xml:space="preserve"> </w:t>
      </w:r>
      <m:oMath>
        <m:r>
          <m:t>1</m:t>
        </m:r>
        <m:r>
          <m:rPr>
            <m:sty m:val="p"/>
          </m:rPr>
          <m:t>/</m:t>
        </m:r>
        <m:rad>
          <m:radPr>
            <m:degHide m:val="on"/>
          </m:radPr>
          <m:deg/>
          <m:e>
            <m:r>
              <m:t>1</m:t>
            </m:r>
            <m:r>
              <m:rPr>
                <m:sty m:val="p"/>
              </m:rPr>
              <m:t>−</m:t>
            </m:r>
            <m:r>
              <m:t>r</m:t>
            </m:r>
          </m:e>
        </m:rad>
      </m:oMath>
      <w:r>
        <w:t xml:space="preserve"> </w:t>
      </w:r>
      <w:r>
        <w:t xml:space="preserve">for an intraclass correlation</w:t>
      </w:r>
      <w:r>
        <w:t xml:space="preserve"> </w:t>
      </w:r>
      <m:oMath>
        <m:r>
          <m:t>r</m:t>
        </m:r>
      </m:oMath>
      <w:r>
        <w:t xml:space="preserve">; the formula reproduces a synthetic simulation (correlation 0.93), while on real data group-by-feature interactions can push the inflation beyond it. The random-split RMSE of tree ensembles is 3.0–9.5 times lower than on unseen groups for ENB2012 and 3.0–7.6 times lower for Parkinson’s data, but at most 1.24 times lower for Concrete, where groups are small; ridge regression is nearly unaffected (at most 1.2). Model rankings reverse (Kendall</w:t>
      </w:r>
      <w:r>
        <w:t xml:space="preserve"> </w:t>
      </w:r>
      <m:oMath>
        <m:r>
          <m:t>τ</m:t>
        </m:r>
        <m:r>
          <m:rPr>
            <m:sty m:val="p"/>
          </m:rPr>
          <m:t>=</m:t>
        </m:r>
        <m:r>
          <m:rPr>
            <m:sty m:val="p"/>
          </m:rPr>
          <m:t>−</m:t>
        </m:r>
        <m:r>
          <m:t>0.4</m:t>
        </m:r>
      </m:oMath>
      <w:r>
        <w:t xml:space="preserve"> </w:t>
      </w:r>
      <w:r>
        <w:t xml:space="preserve">on ENB2012), and a clear ranking under random splitting (Friedman</w:t>
      </w:r>
      <w:r>
        <w:t xml:space="preserve"> </w:t>
      </w:r>
      <m:oMath>
        <m:r>
          <m:t>p</m:t>
        </m:r>
        <m:r>
          <m:rPr>
            <m:sty m:val="p"/>
          </m:rPr>
          <m:t>=</m:t>
        </m:r>
        <m:r>
          <m:t>0.001</m:t>
        </m:r>
      </m:oMath>
      <w:r>
        <w:t xml:space="preserve">) disappears under group-held-out evaluation (</w:t>
      </w:r>
      <m:oMath>
        <m:r>
          <m:t>p</m:t>
        </m:r>
        <m:r>
          <m:rPr>
            <m:sty m:val="p"/>
          </m:rPr>
          <m:t>=</m:t>
        </m:r>
        <m:r>
          <m:t>0.66</m:t>
        </m:r>
      </m:oMath>
      <w:r>
        <w:t xml:space="preserve">). Tuning with random inner folds raises the held-out error of support-vector regression up to 3.3 times. On held-out Parkinson’s patients no model is better than a predictor that returns the training mean, and the near-perfect random-split scores come from age, sex and time features, not from voice. We provide diagnostics, a skill score, a practical checklist and open code.</w:t>
      </w:r>
    </w:p>
    <w:p>
      <w:pPr>
        <w:pStyle w:val="Keywords"/>
      </w:pPr>
      <w:r>
        <w:rPr>
          <w:b/>
          <w:bCs/>
        </w:rPr>
        <w:t xml:space="preserve">Keywords:</w:t>
      </w:r>
      <w:r>
        <w:t xml:space="preserve"> </w:t>
      </w:r>
      <w:r>
        <w:t xml:space="preserve">data leakage; grouped cross-validation; benchmark evaluation; tabular regression; intraclass correlation; nested tuning; building energy; Parkinson’s telemonitoring</w:t>
      </w:r>
    </w:p>
    <w:bookmarkStart w:id="17" w:name="introduction"/>
    <w:p>
      <w:pPr>
        <w:pStyle w:val="Heading1"/>
      </w:pPr>
      <w:r>
        <w:rPr>
          <w:rStyle w:val="SectionNumber"/>
        </w:rPr>
        <w:t xml:space="preserve">1</w:t>
      </w:r>
      <w:r>
        <w:tab/>
      </w:r>
      <w:r>
        <w:t xml:space="preserve">Introduction</w:t>
      </w:r>
    </w:p>
    <w:p>
      <w:pPr>
        <w:pStyle w:val="FirstParagraph"/>
      </w:pPr>
      <w:r>
        <w:t xml:space="preserve">Public benchmark datasets are the common currency of applied machine learning. A new model is typically judged by how much it improves a held-out error on a small number of well-known datasets, and these comparisons then shape which methods practitioners adopt, which papers are published and which claims about</w:t>
      </w:r>
      <w:r>
        <w:t xml:space="preserve"> </w:t>
      </w:r>
      <w:r>
        <w:t xml:space="preserve">“state-of-the-art”</w:t>
      </w:r>
      <w:r>
        <w:t xml:space="preserve"> </w:t>
      </w:r>
      <w:r>
        <w:t xml:space="preserve">accuracy circulate. The credibility of that currency rests on one assumption that is rarely stated and even more rarely checked: that the rows of the dataset are exchangeable, so that a random split into training and test parts produces a test set that is statistically independent of the training set. Many widely used tabular benchmarks violate this assumption by construction. They were assembled from designed experiments or repeated measurements, in which a modest number of underlying units (building designs, concrete mixes, patients, sites, households) each contribute many rows. Rows from the same unit share most of their information, so a random split places near-copies of the test rows in the training set. A flexible model can then reach very low error by recognising the unit rather than by learning the relationship that the benchmark is meant to probe.</w:t>
      </w:r>
    </w:p>
    <w:p>
      <w:pPr>
        <w:pStyle w:val="BodyText"/>
      </w:pPr>
      <w:r>
        <w:t xml:space="preserve">This problem is a form of data leakage, that is, the use of information during training that would not be available when the model is deployed [1]. Leakage is now recognised as a major cause of over-optimistic and irreproducible results in machine-learning-based science: a recent survey identified leakage in 17 research fields, affecting 294 papers, in some cases with wildly inflated conclusions [2]. Studies in neuroimaging, genomics, ecology and digital health have documented the same mechanism under different names: pseudo-replication, subject leakage, spatial autocorrelation or hierarchical dependence [3–7]. The remedy is also well known in principle, namely to split by group so that all rows of a unit fall on the same side of the split. Yet the way this remedy interacts with model choice, with hyper-parameter tuning and with the statistical uncertainty of the resulting estimates has not been quantified for the tabular benchmarks that dominate everyday practice.</w:t>
      </w:r>
    </w:p>
    <w:bookmarkStart w:id="12" w:name="motivating-example"/>
    <w:p>
      <w:pPr>
        <w:pStyle w:val="Heading2"/>
      </w:pPr>
      <w:r>
        <w:rPr>
          <w:rStyle w:val="SectionNumber"/>
        </w:rPr>
        <w:t xml:space="preserve">1.1</w:t>
      </w:r>
      <w:r>
        <w:tab/>
      </w:r>
      <w:r>
        <w:t xml:space="preserve">Motivating example</w:t>
      </w:r>
    </w:p>
    <w:p>
      <w:pPr>
        <w:pStyle w:val="CaptionedFigure"/>
        <w:keepNext/>
        <w:spacing w:before="120"/>
        <w:jc w:val="center"/>
      </w:pPr>
      <w:r>
        <w:drawing>
          <wp:inline>
            <wp:extent cx="5669280" cy="2440940"/>
            <wp:effectExtent b="0" l="0" r="0" t="0"/>
            <wp:docPr descr="Fig. 1. Random splitting versus group-held-out splitting. Colours denote groups (building geometries, mixes, patients); squares are test rows. Under a random split every test row has training rows from its own group; under a group-held-out split the test groups are absent from training." title="" id="10" name="Picture"/>
            <a:graphic>
              <a:graphicData uri="http://schemas.openxmlformats.org/drawingml/2006/picture">
                <pic:pic>
                  <pic:nvPicPr>
                    <pic:cNvPr descr="../figures/paper/fig01_concept.png" id="11" name="Picture"/>
                    <pic:cNvPicPr>
                      <a:picLocks noChangeArrowheads="1" noChangeAspect="1"/>
                    </pic:cNvPicPr>
                  </pic:nvPicPr>
                  <pic:blipFill>
                    <a:blip r:embed="rId9"/>
                    <a:stretch>
                      <a:fillRect/>
                    </a:stretch>
                  </pic:blipFill>
                  <pic:spPr bwMode="auto">
                    <a:xfrm>
                      <a:off x="0" y="0"/>
                      <a:ext cx="5669280" cy="2440940"/>
                    </a:xfrm>
                    <a:prstGeom prst="rect">
                      <a:avLst/>
                    </a:prstGeom>
                    <a:noFill/>
                    <a:ln w="9525">
                      <a:noFill/>
                      <a:headEnd/>
                      <a:tailEnd/>
                    </a:ln>
                  </pic:spPr>
                </pic:pic>
              </a:graphicData>
            </a:graphic>
          </wp:inline>
        </w:drawing>
      </w:r>
    </w:p>
    <w:p>
      <w:pPr>
        <w:pStyle w:val="ImageCaption"/>
      </w:pPr>
      <w:r>
        <w:t xml:space="preserve">Fig. 1. Random splitting versus group-held-out splitting. Colours denote groups (building geometries, mixes, patients); squares are test rows. Under a random split every test row has training rows from its own group; under a group-held-out split the test groups are absent from training.</w:t>
      </w:r>
    </w:p>
    <w:p>
      <w:pPr>
        <w:pStyle w:val="BodyText"/>
      </w:pPr>
      <w:r>
        <w:t xml:space="preserve">Consider the UCI Energy Efficiency dataset (ENB2012), which maps eight building descriptors to heating and cooling loads for 768 simulated residential buildings [8]. It is among the most frequently used regression benchmarks in the building-energy literature, and reported accuracy has become extremely high: under random cross-validation, a tuned gradient-boosting model in our experiments reaches a root-mean-square error (RMSE) of 0.41 kWh/m² for heating load, against a standard deviation of 10.1 kWh/m². Closer inspection shows that the 768 rows are only 12 distinct building geometries, each repeated 64 times across four orientations and sixteen glazing configurations. When the same model is asked to predict the load of a geometry it has not seen, its RMSE rises 9.5-fold, to 3.86 kWh/m². A designer who wants a surrogate model for a new geometry is interested in the second number, not the first. Similar structure exists in other benchmarks: the Concrete Compressive Strength dataset contains 1,030 rows that belong to 427 distinct mixes tested at several ages [9], and the Parkinson’s Telemonitoring dataset contains 5,875 voice recordings from only 42 patients [10]. In the last of these, we will show that a random forest that appears nearly perfect under random splits is less accurate on a new patient than a constant prediction equal to the training mean.</w:t>
      </w:r>
    </w:p>
    <w:bookmarkEnd w:id="12"/>
    <w:bookmarkStart w:id="13" w:name="research-gap"/>
    <w:p>
      <w:pPr>
        <w:pStyle w:val="Heading2"/>
      </w:pPr>
      <w:r>
        <w:rPr>
          <w:rStyle w:val="SectionNumber"/>
        </w:rPr>
        <w:t xml:space="preserve">1.2</w:t>
      </w:r>
      <w:r>
        <w:tab/>
      </w:r>
      <w:r>
        <w:t xml:space="preserve">Research gap</w:t>
      </w:r>
    </w:p>
    <w:p>
      <w:pPr>
        <w:pStyle w:val="FirstParagraph"/>
      </w:pPr>
      <w:r>
        <w:t xml:space="preserve">Existing work leaves four questions open for this class of benchmarks.</w:t>
      </w:r>
    </w:p>
    <w:p>
      <w:pPr>
        <w:pStyle w:val="Compact"/>
        <w:numPr>
          <w:ilvl w:val="0"/>
          <w:numId w:val="1002"/>
        </w:numPr>
      </w:pPr>
      <w:r>
        <w:rPr>
          <w:b/>
          <w:bCs/>
        </w:rPr>
        <w:t xml:space="preserve">Magnitude and model dependence.</w:t>
      </w:r>
      <w:r>
        <w:t xml:space="preserve"> </w:t>
      </w:r>
      <w:r>
        <w:t xml:space="preserve">How large is the inflation caused by random splitting on commonly used tabular benchmarks, and is it the same for all model families? Anecdotal reports exist, but we are not aware of a controlled comparison across several model families and several datasets in which only the validation protocol differs.</w:t>
      </w:r>
    </w:p>
    <w:p>
      <w:pPr>
        <w:pStyle w:val="Compact"/>
        <w:numPr>
          <w:ilvl w:val="0"/>
          <w:numId w:val="1002"/>
        </w:numPr>
      </w:pPr>
      <w:r>
        <w:rPr>
          <w:b/>
          <w:bCs/>
        </w:rPr>
        <w:t xml:space="preserve">Predictability.</w:t>
      </w:r>
      <w:r>
        <w:t xml:space="preserve"> </w:t>
      </w:r>
      <w:r>
        <w:t xml:space="preserve">Can the inflation be predicted from the dependence structure of the data (how much of the residual variance is attributable to the unit, and how many rows each unit contributes), so that practitioners can anticipate it before running an expensive protocol?</w:t>
      </w:r>
    </w:p>
    <w:p>
      <w:pPr>
        <w:pStyle w:val="Compact"/>
        <w:numPr>
          <w:ilvl w:val="0"/>
          <w:numId w:val="1002"/>
        </w:numPr>
      </w:pPr>
      <w:r>
        <w:rPr>
          <w:b/>
          <w:bCs/>
        </w:rPr>
        <w:t xml:space="preserve">Tuning leakage.</w:t>
      </w:r>
      <w:r>
        <w:t xml:space="preserve"> </w:t>
      </w:r>
      <w:r>
        <w:t xml:space="preserve">Hyper-parameter search is itself a cross-validation procedure. If it uses random inner folds inside a grouped outer evaluation, does it select hyper-parameters that favour memorisation and thereby degrade the grouped estimate, in the same way that selection bias contaminates ordinary nested cross-validation [11, 12]?</w:t>
      </w:r>
    </w:p>
    <w:p>
      <w:pPr>
        <w:pStyle w:val="Compact"/>
        <w:numPr>
          <w:ilvl w:val="0"/>
          <w:numId w:val="1002"/>
        </w:numPr>
      </w:pPr>
      <w:r>
        <w:rPr>
          <w:b/>
          <w:bCs/>
        </w:rPr>
        <w:t xml:space="preserve">Diagnostics and remedies.</w:t>
      </w:r>
      <w:r>
        <w:t xml:space="preserve"> </w:t>
      </w:r>
      <w:r>
        <w:t xml:space="preserve">Which simple diagnostics reveal when a benchmark score carries no information about new units, and what can be done when a new unit is available for calibration?</w:t>
      </w:r>
    </w:p>
    <w:bookmarkEnd w:id="13"/>
    <w:bookmarkStart w:id="14" w:name="contributions"/>
    <w:p>
      <w:pPr>
        <w:pStyle w:val="Heading2"/>
      </w:pPr>
      <w:r>
        <w:rPr>
          <w:rStyle w:val="SectionNumber"/>
        </w:rPr>
        <w:t xml:space="preserve">1.3</w:t>
      </w:r>
      <w:r>
        <w:tab/>
      </w:r>
      <w:r>
        <w:t xml:space="preserve">Contributions</w:t>
      </w:r>
    </w:p>
    <w:p>
      <w:pPr>
        <w:pStyle w:val="FirstParagraph"/>
      </w:pPr>
      <w:r>
        <w:t xml:space="preserve">This paper makes the following contributions.</w:t>
      </w:r>
    </w:p>
    <w:p>
      <w:pPr>
        <w:pStyle w:val="Compact"/>
        <w:numPr>
          <w:ilvl w:val="0"/>
          <w:numId w:val="1003"/>
        </w:numPr>
      </w:pPr>
      <w:r>
        <w:t xml:space="preserve">We formalise random-split and group-held-out risk under a random-effects model, derive a closed-form prediction of the inflation ratio as a function of the intraclass correlation (ICC) and the group size, derive the expected fraction of leaked test rows under K-fold cross-validation, and relate the width of group-level confidence intervals to the design effect (Section 3). We validate the formulae in a synthetic simulation.</w:t>
      </w:r>
    </w:p>
    <w:p>
      <w:pPr>
        <w:pStyle w:val="Compact"/>
        <w:numPr>
          <w:ilvl w:val="0"/>
          <w:numId w:val="1003"/>
        </w:numPr>
      </w:pPr>
      <w:r>
        <w:t xml:space="preserve">We re-evaluate five model families on three benchmark datasets (five dataset–target combinations) with random and group-held-out protocols and matched nested tuning, and quantify the inflation with bootstrap intervals (Section 6).</w:t>
      </w:r>
    </w:p>
    <w:p>
      <w:pPr>
        <w:pStyle w:val="Compact"/>
        <w:numPr>
          <w:ilvl w:val="0"/>
          <w:numId w:val="1003"/>
        </w:numPr>
      </w:pPr>
      <w:r>
        <w:t xml:space="preserve">We estimate the ICC of each dataset and test how well the theory predicts the observed inflation (Section 6.5).</w:t>
      </w:r>
    </w:p>
    <w:p>
      <w:pPr>
        <w:pStyle w:val="Compact"/>
        <w:numPr>
          <w:ilvl w:val="0"/>
          <w:numId w:val="1003"/>
        </w:numPr>
      </w:pPr>
      <w:r>
        <w:t xml:space="preserve">We isolate tuning leakage with an ablation in which only the inner folds change (Section 6.6).</w:t>
      </w:r>
    </w:p>
    <w:p>
      <w:pPr>
        <w:pStyle w:val="Compact"/>
        <w:numPr>
          <w:ilvl w:val="0"/>
          <w:numId w:val="1003"/>
        </w:numPr>
      </w:pPr>
      <w:r>
        <w:t xml:space="preserve">We introduce the training-mean predictor as a no-skill reference under the same split, and a skill score based on it, and show that on Parkinson’s data all tested models have negative skill on new patients (Section 6.3).</w:t>
      </w:r>
    </w:p>
    <w:p>
      <w:pPr>
        <w:pStyle w:val="Compact"/>
        <w:numPr>
          <w:ilvl w:val="0"/>
          <w:numId w:val="1003"/>
        </w:numPr>
      </w:pPr>
      <w:r>
        <w:t xml:space="preserve">We provide diagnostics (learning curves over the number of training groups, leakage fraction, per-group error maps, sensitivity to the number of folds) and a calibration analysis that shows that the accuracy regained from labelled recordings of a new patient comes from knowing the patient’s level and not from the features (Sections 6.2–6.4, 6.7).</w:t>
      </w:r>
    </w:p>
    <w:p>
      <w:pPr>
        <w:pStyle w:val="Compact"/>
        <w:numPr>
          <w:ilvl w:val="0"/>
          <w:numId w:val="1003"/>
        </w:numPr>
      </w:pPr>
      <w:r>
        <w:t xml:space="preserve">We offer a practical checklist (Section 7) and release all code, per-fold results and figures.</w:t>
      </w:r>
    </w:p>
    <w:bookmarkEnd w:id="14"/>
    <w:bookmarkStart w:id="15" w:name="positioning"/>
    <w:p>
      <w:pPr>
        <w:pStyle w:val="Heading2"/>
      </w:pPr>
      <w:r>
        <w:rPr>
          <w:rStyle w:val="SectionNumber"/>
        </w:rPr>
        <w:t xml:space="preserve">1.4</w:t>
      </w:r>
      <w:r>
        <w:tab/>
      </w:r>
      <w:r>
        <w:t xml:space="preserve">Positioning</w:t>
      </w:r>
    </w:p>
    <w:p>
      <w:pPr>
        <w:pStyle w:val="FirstParagraph"/>
      </w:pPr>
      <w:r>
        <w:t xml:space="preserve">Group-aware validation is standard advice in ecology, remote sensing and clinical machine learning [4, 5, 13, 14], and geometry-blocked validation on ENB2012 has recently been reported as an additional diagnostic in a workflow paper on early-stage load screening [15]. We do not claim priority for the general idea. Our contribution is a controlled, quantitative treatment of the problem on tabular benchmarks: a theory that links the inflation to measurable properties of the data, a protocol-level comparison with matched nested tuning, a measurement of tuning leakage, and a no-skill reference that reveals when a score is uninformative. We did not read the full text of [15] and therefore cannot compare protocols in detail.</w:t>
      </w:r>
    </w:p>
    <w:bookmarkEnd w:id="15"/>
    <w:bookmarkStart w:id="16" w:name="organisation-of-the-paper"/>
    <w:p>
      <w:pPr>
        <w:pStyle w:val="Heading2"/>
      </w:pPr>
      <w:r>
        <w:rPr>
          <w:rStyle w:val="SectionNumber"/>
        </w:rPr>
        <w:t xml:space="preserve">1.5</w:t>
      </w:r>
      <w:r>
        <w:tab/>
      </w:r>
      <w:r>
        <w:t xml:space="preserve">Organisation of the paper</w:t>
      </w:r>
    </w:p>
    <w:p>
      <w:pPr>
        <w:pStyle w:val="FirstParagraph"/>
      </w:pPr>
      <w:r>
        <w:t xml:space="preserve">Section 2 reviews related work. Section 3 develops the theory. Section 4 describes the datasets and their group structure. Section 5 describes the experimental design. Section 6 reports results. Section 7 discusses mechanisms, recommendations and threats to validity, Section 8 lists limitations and future work, and Section 9 concludes.</w:t>
      </w:r>
    </w:p>
    <w:bookmarkEnd w:id="16"/>
    <w:bookmarkEnd w:id="17"/>
    <w:bookmarkStart w:id="24" w:name="background-and-related-work"/>
    <w:p>
      <w:pPr>
        <w:pStyle w:val="Heading1"/>
      </w:pPr>
      <w:r>
        <w:rPr>
          <w:rStyle w:val="SectionNumber"/>
        </w:rPr>
        <w:t xml:space="preserve">2</w:t>
      </w:r>
      <w:r>
        <w:tab/>
      </w:r>
      <w:r>
        <w:t xml:space="preserve">Background and related work</w:t>
      </w:r>
    </w:p>
    <w:bookmarkStart w:id="18" w:name="X2bc2ab494045b901c7d1dc9716a04aa047b5968"/>
    <w:p>
      <w:pPr>
        <w:pStyle w:val="Heading2"/>
      </w:pPr>
      <w:r>
        <w:rPr>
          <w:rStyle w:val="SectionNumber"/>
        </w:rPr>
        <w:t xml:space="preserve">2.1</w:t>
      </w:r>
      <w:r>
        <w:tab/>
      </w:r>
      <w:r>
        <w:t xml:space="preserve">Leakage and the reproducibility of machine-learning results</w:t>
      </w:r>
    </w:p>
    <w:p>
      <w:pPr>
        <w:pStyle w:val="FirstParagraph"/>
      </w:pPr>
      <w:r>
        <w:t xml:space="preserve">Kaufman and colleagues defined leakage as the introduction of information about the target that should not legitimately be available to the model, and observed that it is usually unintentional, subtle and facilitated by the way data are collected, aggregated and prepared [1]. They proposed a formal definition and recommended a strict separation of learning and prediction. Kapoor and Narayanan surveyed the literature of machine-learning-based science and found leakage in 17 fields, collectively affecting 294 papers, and proposed a taxonomy that includes the absence of a clean train–test separation, the use of features that are proxies for the outcome non-independence between training and test examples (for instance the same patient in both sets) and test sets that are not drawn from the distribution of scientific interest [2]. Rosenblatt and colleagues examined several forms of leakage (feature selection, covariate correction, subject-level leakage through repeated measures) in connectome-based prediction and showed that they affect prediction performance to different degrees, some of them strongly [6]. A much older example is the selection bias that arises when genes are selected using the full dataset before cross-validation [3].</w:t>
      </w:r>
    </w:p>
    <w:p>
      <w:pPr>
        <w:pStyle w:val="BodyText"/>
      </w:pPr>
      <w:r>
        <w:t xml:space="preserve">These works establish that leakage is common and consequential, but they mostly study classification or domain-specific pipelines and rarely relate the size of the effect to a measurable property of the data. The present paper focuses on one specific leakage mechanism, the dependence among rows of the same group, in regression benchmarks, and treats the size of the effect as a quantity that can be predicted and estimated.</w:t>
      </w:r>
    </w:p>
    <w:bookmarkEnd w:id="18"/>
    <w:bookmarkStart w:id="19" w:name="validation-under-dependence"/>
    <w:p>
      <w:pPr>
        <w:pStyle w:val="Heading2"/>
      </w:pPr>
      <w:r>
        <w:rPr>
          <w:rStyle w:val="SectionNumber"/>
        </w:rPr>
        <w:t xml:space="preserve">2.2</w:t>
      </w:r>
      <w:r>
        <w:tab/>
      </w:r>
      <w:r>
        <w:t xml:space="preserve">Validation under dependence</w:t>
      </w:r>
    </w:p>
    <w:p>
      <w:pPr>
        <w:pStyle w:val="FirstParagraph"/>
      </w:pPr>
      <w:r>
        <w:t xml:space="preserve">When rows are dependent, a random split no longer estimates the error that matters for new units. Roberts and colleagues reviewed cross-validation strategies for data with temporal, spatial, hierarchical or phylogenetic structure and concluded that ignoring such structure results in serious underestimation of predictive error; they recommended block cross-validation wherever dependence exists, even if no correlation structure is visible in the residuals of a fitted model [4]. Ploton and colleagues showed that spatial validation reveals poor predictive performance of large-scale ecological mapping models that appeared accurate under random validation [7]. Meyer and colleagues argued that models for spatio-temporal data should be validated with target-oriented splits and showed that this changes which predictors are selected and how well models perform [13].</w:t>
      </w:r>
    </w:p>
    <w:p>
      <w:pPr>
        <w:pStyle w:val="BodyText"/>
      </w:pPr>
      <w:r>
        <w:t xml:space="preserve">In clinical machine learning, Saeb and colleagues showed that record-wise cross-validation, which allows recordings from the same subject in both training and test sets, can yield substantially optimistic estimates compared with subject-wise cross-validation, and that the approximation of the intended use-case should drive the choice of validation scheme [5]. Chaibub Neto and colleagues examined the impact of subject characteristics on machine-learning-based diagnostic applications [14]. Temporal dependence has a long history in forecasting evaluation as well, with specific recommendations for time-series cross-validation [16]. The common message of these studies is that the unit of independence must be identified and respected by the split.</w:t>
      </w:r>
    </w:p>
    <w:p>
      <w:pPr>
        <w:pStyle w:val="BodyText"/>
      </w:pPr>
      <w:r>
        <w:t xml:space="preserve">Our work differs in scope and in method. We study three tabular benchmarks that are widely used for method comparison rather than domain-specific application studies, compare several model families under identical protocols, quantify the effect with a theory that can be checked against data, and examine the interaction with hyper-parameter tuning.</w:t>
      </w:r>
    </w:p>
    <w:bookmarkEnd w:id="19"/>
    <w:bookmarkStart w:id="20" w:name="X6a08f3d757a8a005d953d1b3b1abe3409945919"/>
    <w:p>
      <w:pPr>
        <w:pStyle w:val="Heading2"/>
      </w:pPr>
      <w:r>
        <w:rPr>
          <w:rStyle w:val="SectionNumber"/>
        </w:rPr>
        <w:t xml:space="preserve">2.3</w:t>
      </w:r>
      <w:r>
        <w:tab/>
      </w:r>
      <w:r>
        <w:t xml:space="preserve">Model selection bias and nested validation</w:t>
      </w:r>
    </w:p>
    <w:p>
      <w:pPr>
        <w:pStyle w:val="FirstParagraph"/>
      </w:pPr>
      <w:r>
        <w:t xml:space="preserve">Choosing hyper-parameters by cross-validation and then reporting the cross-validated error of the chosen configuration is optimistically biased, because the same data are used for selection and for evaluation. Varma and Simon demonstrated this bias and proposed nested cross-validation as a remedy [12], and Cawley and Talbot analysed over-fitting in model selection and the resulting selection bias in performance evaluation [11]. Arlot and Celisse provide a survey of cross-validation procedures, including their bias and variance properties [17]. Varoquaux showed that with small samples the error bars of cross-validated estimates are large, so that apparent differences between models are often within sampling uncertainty [18], and Bates, Hastie and Tibshirani clarified that cross-validation estimates the average error of models trained on different training sets rather than the error of the specific fitted model, and that its standard errors can be under-estimated [19].</w:t>
      </w:r>
    </w:p>
    <w:p>
      <w:pPr>
        <w:pStyle w:val="BodyText"/>
      </w:pPr>
      <w:r>
        <w:t xml:space="preserve">These analyses concern random splits of independent rows. When the rows are grouped, a second issue appears: the inner splits used for tuning can leak in the same way as the outer split. If inner folds are random, the tuning criterion rewards hyper-parameters that memorise groups (for example a very small kernel bandwidth), and the selected configuration then performs badly on new groups. We show this effect empirically and explain it in Section 3.5.</w:t>
      </w:r>
    </w:p>
    <w:bookmarkEnd w:id="20"/>
    <w:bookmarkStart w:id="21" w:name="X70f34382f112c07f49262e4a931db9433b26349"/>
    <w:p>
      <w:pPr>
        <w:pStyle w:val="Heading2"/>
      </w:pPr>
      <w:r>
        <w:rPr>
          <w:rStyle w:val="SectionNumber"/>
        </w:rPr>
        <w:t xml:space="preserve">2.4</w:t>
      </w:r>
      <w:r>
        <w:tab/>
      </w:r>
      <w:r>
        <w:t xml:space="preserve">Machine learning on the three benchmark datasets</w:t>
      </w:r>
    </w:p>
    <w:p>
      <w:pPr>
        <w:pStyle w:val="FirstParagraph"/>
      </w:pPr>
      <w:r>
        <w:rPr>
          <w:b/>
          <w:bCs/>
        </w:rPr>
        <w:t xml:space="preserve">Energy Efficiency (ENB2012).</w:t>
      </w:r>
      <w:r>
        <w:t xml:space="preserve"> </w:t>
      </w:r>
      <w:r>
        <w:t xml:space="preserve">The dataset was introduced by Tsanas and Xifara, who simulated 768 residential buildings with Ecotect, studied the association of eight inputs with heating and cooling load and compared linear regression with random forests [8]. It has since been used in a large number of studies that compare ensembles, neural networks, support-vector machines, regression splines, partial least squares and metaheuristic hybrids [20–23]. Chou and Bui report evaluation by ten-fold cross-validation [20] (we could verify this only from the available summary of the paper); for the other studies cited we did not verify the evaluation protocol and do not make claims about it. A recent workflow paper reports, among other diagnostics, geometry-blocked validation on this dataset [15].</w:t>
      </w:r>
    </w:p>
    <w:p>
      <w:pPr>
        <w:pStyle w:val="BodyText"/>
      </w:pPr>
      <w:r>
        <w:rPr>
          <w:b/>
          <w:bCs/>
        </w:rPr>
        <w:t xml:space="preserve">Concrete Compressive Strength.</w:t>
      </w:r>
      <w:r>
        <w:t xml:space="preserve"> </w:t>
      </w:r>
      <w:r>
        <w:t xml:space="preserve">The dataset, introduced by Yeh in a study of high-performance concrete with artificial neural networks, relates the quantities of seven ingredients and the age of the specimen to compressive strength [9]. Subsequent studies compare machine-learning approaches on this and related concrete data, including multi-national data collections [24]. We did not find, in the summaries of these studies that we could access, a discussion of the fact that the same mix is tested at several ages and appears repeatedly in the data.</w:t>
      </w:r>
    </w:p>
    <w:p>
      <w:pPr>
        <w:pStyle w:val="BodyText"/>
      </w:pPr>
      <w:r>
        <w:rPr>
          <w:b/>
          <w:bCs/>
        </w:rPr>
        <w:t xml:space="preserve">Parkinson’s Telemonitoring.</w:t>
      </w:r>
      <w:r>
        <w:t xml:space="preserve"> </w:t>
      </w:r>
      <w:r>
        <w:t xml:space="preserve">Tsanas and colleagues collected voice recordings from 42 people with early-stage Parkinson’s disease during a six-month trial and showed that motor and total UPDRS (Unified Parkinson’s Disease Rating Scale) scores can be estimated from speech measures [10]. Later studies used the data for regression and for classification of severity [25]. A stacked-ensemble study of classification reported both recording-wise and subject-wise evaluation and found a noticeably lower accuracy for the subject-wise evaluation on unseen subjects (77.8% versus 84.7%) [26]. This is consistent with the mechanism studied here, although it concerns classification and a different pipeline.</w:t>
      </w:r>
    </w:p>
    <w:bookmarkEnd w:id="21"/>
    <w:bookmarkStart w:id="22" w:name="machine-learning-for-building-energy"/>
    <w:p>
      <w:pPr>
        <w:pStyle w:val="Heading2"/>
      </w:pPr>
      <w:r>
        <w:rPr>
          <w:rStyle w:val="SectionNumber"/>
        </w:rPr>
        <w:t xml:space="preserve">2.5</w:t>
      </w:r>
      <w:r>
        <w:tab/>
      </w:r>
      <w:r>
        <w:t xml:space="preserve">Machine learning for building energy</w:t>
      </w:r>
    </w:p>
    <w:p>
      <w:pPr>
        <w:pStyle w:val="FirstParagraph"/>
      </w:pPr>
      <w:r>
        <w:t xml:space="preserve">Reviews of data-driven building-energy prediction document a broad use of regression models, ensembles and neural networks across building types and prediction horizons [27, 28]. The Building Data Genome Project 2 collected hourly meter data from more than a thousand non-residential buildings and was used in the ASHRAE Great Energy Predictor III competition [29]. In these data, the group structure (buildings, sites) is explicit and the temporal dependence is strong, which makes the validation issue even more relevant than in the simulated ENB2012 dataset. Simulated datasets such as ENB2012 are used primarily to illustrate and compare methods for early-stage design, where the intended use is the prediction of load for a design that has not yet been simulated. This intended use corresponds to group-held-out validation.</w:t>
      </w:r>
    </w:p>
    <w:bookmarkEnd w:id="22"/>
    <w:bookmarkStart w:id="23" w:name="summary-of-gaps"/>
    <w:p>
      <w:pPr>
        <w:pStyle w:val="Heading2"/>
      </w:pPr>
      <w:r>
        <w:rPr>
          <w:rStyle w:val="SectionNumber"/>
        </w:rPr>
        <w:t xml:space="preserve">2.6</w:t>
      </w:r>
      <w:r>
        <w:tab/>
      </w:r>
      <w:r>
        <w:t xml:space="preserve">Summary of gaps</w:t>
      </w:r>
    </w:p>
    <w:p>
      <w:pPr>
        <w:pStyle w:val="FirstParagraph"/>
      </w:pPr>
      <w:r>
        <w:t xml:space="preserve">Table 1 summarises how the present work relates to the strands above.</w:t>
      </w:r>
    </w:p>
    <w:p>
      <w:pPr>
        <w:pStyle w:val="TableCaption"/>
      </w:pPr>
      <w:r>
        <w:t xml:space="preserve">Table 1. Positioning of the present study relative to the main strands of related work.</w:t>
      </w:r>
    </w:p>
    <w:tbl>
      <w:tblPr>
        <w:tblStyle w:val="Table"/>
        <w:tblW w:w="9071" w:type="dxa"/>
        <w:tblBorders>
          <w:top w:val="single" w:sz="12" w:space="0" w:color="000000"/>
          <w:left w:val="nil"/>
          <w:bottom w:val="single" w:sz="12"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Caption w:val="Table 1. Positioning of the present study relative to the main strands of related work."/>
      </w:tblPr>
      <w:tblGrid>
        <w:gridCol w:w="2576"/>
        <w:gridCol w:w="1700"/>
        <w:gridCol w:w="2576"/>
        <w:gridCol w:w="2216"/>
      </w:tblGrid>
      <w:tr>
        <w:trPr>
          <w:cantSplit w:val="true"/>
          <w:tblHeader w:val="on"/>
          <w:tblHeader w:val="true"/>
        </w:trPr>
        <w:tc>
          <w:tcPr>
            <w:tcW w:w="2576" w:type="dxa"/>
            <w:tcBorders>
              <w:bottom w:val="single" w:sz="6" w:space="0" w:color="000000"/>
            </w:tcBorders>
          </w:tcPr>
          <w:p>
            <w:pPr>
              <w:pStyle w:val="Compact"/>
              <w:keepLines/>
              <w:jc w:val="left"/>
            </w:pPr>
            <w:r>
              <w:rPr>
                <w:b/>
                <w:sz w:val="17"/>
              </w:rPr>
              <w:t xml:space="preserve">Strand</w:t>
            </w:r>
          </w:p>
        </w:tc>
        <w:tc>
          <w:tcPr>
            <w:tcW w:w="1700" w:type="dxa"/>
            <w:tcBorders>
              <w:bottom w:val="single" w:sz="6" w:space="0" w:color="000000"/>
            </w:tcBorders>
          </w:tcPr>
          <w:p>
            <w:pPr>
              <w:pStyle w:val="Compact"/>
              <w:keepLines/>
              <w:jc w:val="left"/>
            </w:pPr>
            <w:r>
              <w:rPr>
                <w:b/>
                <w:sz w:val="17"/>
              </w:rPr>
              <w:t xml:space="preserve">Typical focus</w:t>
            </w:r>
          </w:p>
        </w:tc>
        <w:tc>
          <w:tcPr>
            <w:tcW w:w="2576" w:type="dxa"/>
            <w:tcBorders>
              <w:bottom w:val="single" w:sz="6" w:space="0" w:color="000000"/>
            </w:tcBorders>
          </w:tcPr>
          <w:p>
            <w:pPr>
              <w:pStyle w:val="Compact"/>
              <w:keepLines/>
              <w:jc w:val="left"/>
            </w:pPr>
            <w:r>
              <w:rPr>
                <w:b/>
                <w:sz w:val="17"/>
              </w:rPr>
              <w:t xml:space="preserve">What is missing for tabular benchmarks</w:t>
            </w:r>
          </w:p>
        </w:tc>
        <w:tc>
          <w:tcPr>
            <w:tcW w:w="2216" w:type="dxa"/>
            <w:tcBorders>
              <w:bottom w:val="single" w:sz="6" w:space="0" w:color="000000"/>
            </w:tcBorders>
          </w:tcPr>
          <w:p>
            <w:pPr>
              <w:pStyle w:val="Compact"/>
              <w:keepLines/>
              <w:jc w:val="left"/>
            </w:pPr>
            <w:r>
              <w:rPr>
                <w:b/>
                <w:sz w:val="17"/>
              </w:rPr>
              <w:t xml:space="preserve">This paper</w:t>
            </w:r>
          </w:p>
        </w:tc>
      </w:tr>
      <w:tr>
        <w:trPr>
          <w:cantSplit w:val="true"/>
        </w:trPr>
        <w:tc>
          <w:tcPr>
            <w:tcW w:w="2576" w:type="dxa"/>
          </w:tcPr>
          <w:p>
            <w:pPr>
              <w:pStyle w:val="Compact"/>
              <w:keepLines/>
              <w:jc w:val="left"/>
            </w:pPr>
            <w:r>
              <w:rPr>
                <w:sz w:val="17"/>
              </w:rPr>
              <w:t xml:space="preserve">Leakage surveys [1, 2, 6]</w:t>
            </w:r>
          </w:p>
        </w:tc>
        <w:tc>
          <w:tcPr>
            <w:tcW w:w="1700" w:type="dxa"/>
          </w:tcPr>
          <w:p>
            <w:pPr>
              <w:pStyle w:val="Compact"/>
              <w:keepLines/>
              <w:jc w:val="left"/>
            </w:pPr>
            <w:r>
              <w:rPr>
                <w:sz w:val="17"/>
              </w:rPr>
              <w:t xml:space="preserve">Taxonomy, prevalence, examples</w:t>
            </w:r>
          </w:p>
        </w:tc>
        <w:tc>
          <w:tcPr>
            <w:tcW w:w="2576" w:type="dxa"/>
          </w:tcPr>
          <w:p>
            <w:pPr>
              <w:pStyle w:val="Compact"/>
              <w:keepLines/>
              <w:jc w:val="left"/>
            </w:pPr>
            <w:r>
              <w:rPr>
                <w:sz w:val="17"/>
              </w:rPr>
              <w:t xml:space="preserve">A quantitative link between data structure and effect size</w:t>
            </w:r>
          </w:p>
        </w:tc>
        <w:tc>
          <w:tcPr>
            <w:tcW w:w="2216" w:type="dxa"/>
          </w:tcPr>
          <w:p>
            <w:pPr>
              <w:pStyle w:val="Compact"/>
              <w:keepLines/>
              <w:jc w:val="left"/>
            </w:pPr>
            <w:r>
              <w:rPr>
                <w:sz w:val="17"/>
              </w:rPr>
              <w:t xml:space="preserve">Closed-form prediction and empirical test</w:t>
            </w:r>
          </w:p>
        </w:tc>
      </w:tr>
      <w:tr>
        <w:trPr>
          <w:cantSplit w:val="true"/>
        </w:trPr>
        <w:tc>
          <w:tcPr>
            <w:tcW w:w="2576" w:type="dxa"/>
          </w:tcPr>
          <w:p>
            <w:pPr>
              <w:pStyle w:val="Compact"/>
              <w:keepLines/>
              <w:jc w:val="left"/>
            </w:pPr>
            <w:r>
              <w:rPr>
                <w:sz w:val="17"/>
              </w:rPr>
              <w:t xml:space="preserve">Block / grouped CV [4, 7, 13]</w:t>
            </w:r>
          </w:p>
        </w:tc>
        <w:tc>
          <w:tcPr>
            <w:tcW w:w="1700" w:type="dxa"/>
          </w:tcPr>
          <w:p>
            <w:pPr>
              <w:pStyle w:val="Compact"/>
              <w:keepLines/>
              <w:jc w:val="left"/>
            </w:pPr>
            <w:r>
              <w:rPr>
                <w:sz w:val="17"/>
              </w:rPr>
              <w:t xml:space="preserve">Ecology, remote sensing</w:t>
            </w:r>
          </w:p>
        </w:tc>
        <w:tc>
          <w:tcPr>
            <w:tcW w:w="2576" w:type="dxa"/>
          </w:tcPr>
          <w:p>
            <w:pPr>
              <w:pStyle w:val="Compact"/>
              <w:keepLines/>
              <w:jc w:val="left"/>
            </w:pPr>
            <w:r>
              <w:rPr>
                <w:sz w:val="17"/>
              </w:rPr>
              <w:t xml:space="preserve">Several model families, UCI-type benchmarks</w:t>
            </w:r>
          </w:p>
        </w:tc>
        <w:tc>
          <w:tcPr>
            <w:tcW w:w="2216" w:type="dxa"/>
          </w:tcPr>
          <w:p>
            <w:pPr>
              <w:pStyle w:val="Compact"/>
              <w:keepLines/>
              <w:jc w:val="left"/>
            </w:pPr>
            <w:r>
              <w:rPr>
                <w:sz w:val="17"/>
              </w:rPr>
              <w:t xml:space="preserve">Five model families, three benchmarks</w:t>
            </w:r>
          </w:p>
        </w:tc>
      </w:tr>
      <w:tr>
        <w:trPr>
          <w:cantSplit w:val="true"/>
        </w:trPr>
        <w:tc>
          <w:tcPr>
            <w:tcW w:w="2576" w:type="dxa"/>
          </w:tcPr>
          <w:p>
            <w:pPr>
              <w:pStyle w:val="Compact"/>
              <w:keepLines/>
              <w:jc w:val="left"/>
            </w:pPr>
            <w:r>
              <w:rPr>
                <w:sz w:val="17"/>
              </w:rPr>
              <w:t xml:space="preserve">Subject-wise validation [5, 14, 26]</w:t>
            </w:r>
          </w:p>
        </w:tc>
        <w:tc>
          <w:tcPr>
            <w:tcW w:w="1700" w:type="dxa"/>
          </w:tcPr>
          <w:p>
            <w:pPr>
              <w:pStyle w:val="Compact"/>
              <w:keepLines/>
              <w:jc w:val="left"/>
            </w:pPr>
            <w:r>
              <w:rPr>
                <w:sz w:val="17"/>
              </w:rPr>
              <w:t xml:space="preserve">Clinical models, classification</w:t>
            </w:r>
          </w:p>
        </w:tc>
        <w:tc>
          <w:tcPr>
            <w:tcW w:w="2576" w:type="dxa"/>
          </w:tcPr>
          <w:p>
            <w:pPr>
              <w:pStyle w:val="Compact"/>
              <w:keepLines/>
              <w:jc w:val="left"/>
            </w:pPr>
            <w:r>
              <w:rPr>
                <w:sz w:val="17"/>
              </w:rPr>
              <w:t xml:space="preserve">Regression, a no-skill reference, tuning interaction</w:t>
            </w:r>
          </w:p>
        </w:tc>
        <w:tc>
          <w:tcPr>
            <w:tcW w:w="2216" w:type="dxa"/>
          </w:tcPr>
          <w:p>
            <w:pPr>
              <w:pStyle w:val="Compact"/>
              <w:keepLines/>
              <w:jc w:val="left"/>
            </w:pPr>
            <w:r>
              <w:rPr>
                <w:sz w:val="17"/>
              </w:rPr>
              <w:t xml:space="preserve">Skill score, tuning ablation</w:t>
            </w:r>
          </w:p>
        </w:tc>
      </w:tr>
      <w:tr>
        <w:trPr>
          <w:cantSplit w:val="true"/>
        </w:trPr>
        <w:tc>
          <w:tcPr>
            <w:tcW w:w="2576" w:type="dxa"/>
          </w:tcPr>
          <w:p>
            <w:pPr>
              <w:pStyle w:val="Compact"/>
              <w:keepLines/>
              <w:jc w:val="left"/>
            </w:pPr>
            <w:r>
              <w:rPr>
                <w:sz w:val="17"/>
              </w:rPr>
              <w:t xml:space="preserve">Nested CV and selection bias [11, 12, 17, 19]</w:t>
            </w:r>
          </w:p>
        </w:tc>
        <w:tc>
          <w:tcPr>
            <w:tcW w:w="1700" w:type="dxa"/>
          </w:tcPr>
          <w:p>
            <w:pPr>
              <w:pStyle w:val="Compact"/>
              <w:keepLines/>
              <w:jc w:val="left"/>
            </w:pPr>
            <w:r>
              <w:rPr>
                <w:sz w:val="17"/>
              </w:rPr>
              <w:t xml:space="preserve">Independent rows</w:t>
            </w:r>
          </w:p>
        </w:tc>
        <w:tc>
          <w:tcPr>
            <w:tcW w:w="2576" w:type="dxa"/>
          </w:tcPr>
          <w:p>
            <w:pPr>
              <w:pStyle w:val="Compact"/>
              <w:keepLines/>
              <w:jc w:val="left"/>
            </w:pPr>
            <w:r>
              <w:rPr>
                <w:sz w:val="17"/>
              </w:rPr>
              <w:t xml:space="preserve">Grouped inner folds</w:t>
            </w:r>
          </w:p>
        </w:tc>
        <w:tc>
          <w:tcPr>
            <w:tcW w:w="2216" w:type="dxa"/>
          </w:tcPr>
          <w:p>
            <w:pPr>
              <w:pStyle w:val="Compact"/>
              <w:keepLines/>
              <w:jc w:val="left"/>
            </w:pPr>
            <w:r>
              <w:rPr>
                <w:sz w:val="17"/>
              </w:rPr>
              <w:t xml:space="preserve">Matched inner and outer folds</w:t>
            </w:r>
          </w:p>
        </w:tc>
      </w:tr>
      <w:tr>
        <w:trPr>
          <w:cantSplit w:val="true"/>
        </w:trPr>
        <w:tc>
          <w:tcPr>
            <w:tcW w:w="2576" w:type="dxa"/>
          </w:tcPr>
          <w:p>
            <w:pPr>
              <w:pStyle w:val="Compact"/>
              <w:keepLines/>
              <w:jc w:val="left"/>
            </w:pPr>
            <w:r>
              <w:rPr>
                <w:sz w:val="17"/>
              </w:rPr>
              <w:t xml:space="preserve">ENB2012 / concrete / Parkinson’s studies [8–10, 20]</w:t>
            </w:r>
          </w:p>
        </w:tc>
        <w:tc>
          <w:tcPr>
            <w:tcW w:w="1700" w:type="dxa"/>
          </w:tcPr>
          <w:p>
            <w:pPr>
              <w:pStyle w:val="Compact"/>
              <w:keepLines/>
              <w:jc w:val="left"/>
            </w:pPr>
            <w:r>
              <w:rPr>
                <w:sz w:val="17"/>
              </w:rPr>
              <w:t xml:space="preserve">Model accuracy</w:t>
            </w:r>
          </w:p>
        </w:tc>
        <w:tc>
          <w:tcPr>
            <w:tcW w:w="2576" w:type="dxa"/>
          </w:tcPr>
          <w:p>
            <w:pPr>
              <w:pStyle w:val="Compact"/>
              <w:keepLines/>
              <w:jc w:val="left"/>
            </w:pPr>
            <w:r>
              <w:rPr>
                <w:sz w:val="17"/>
              </w:rPr>
              <w:t xml:space="preserve">Group-held-out evaluation, inflation analysis</w:t>
            </w:r>
          </w:p>
        </w:tc>
        <w:tc>
          <w:tcPr>
            <w:tcW w:w="2216" w:type="dxa"/>
          </w:tcPr>
          <w:p>
            <w:pPr>
              <w:pStyle w:val="Compact"/>
              <w:keepLines/>
              <w:jc w:val="left"/>
            </w:pPr>
            <w:r>
              <w:rPr>
                <w:sz w:val="17"/>
              </w:rPr>
              <w:t xml:space="preserve">Group-held-out evaluation and diagnostics</w:t>
            </w:r>
          </w:p>
        </w:tc>
      </w:tr>
    </w:tbl>
    <w:bookmarkEnd w:id="23"/>
    <w:bookmarkEnd w:id="24"/>
    <w:bookmarkStart w:id="32" w:name="X1fe93f976d7def40556fde36186c1fcb9fbdd6d"/>
    <w:p>
      <w:pPr>
        <w:pStyle w:val="Heading1"/>
      </w:pPr>
      <w:r>
        <w:rPr>
          <w:rStyle w:val="SectionNumber"/>
        </w:rPr>
        <w:t xml:space="preserve">3</w:t>
      </w:r>
      <w:r>
        <w:tab/>
      </w:r>
      <w:r>
        <w:t xml:space="preserve">Theory: random-split and group-held-out risk</w:t>
      </w:r>
    </w:p>
    <w:p>
      <w:pPr>
        <w:pStyle w:val="FirstParagraph"/>
      </w:pPr>
      <w:r>
        <w:t xml:space="preserve">This section develops a minimal model of dependence among rows and derives four results: the inflation of random-split accuracy as a function of the intraclass correlation and the group size (Section 3.2), the expected fraction of leaked test rows (Section 3.3), the group-level uncertainty of validation estimates (Section 3.4) and the mechanism of tuning leakage (Section 3.5). Section 3.6 defines the skill score used later. Derivations are given in Appendix A, and the formulae are checked against simulation and data in Section 6. Table 2 lists the notation.</w:t>
      </w:r>
    </w:p>
    <w:p>
      <w:pPr>
        <w:pStyle w:val="TableCaption"/>
      </w:pPr>
      <w:r>
        <w:t xml:space="preserve">Table 2. Notation.</w:t>
      </w:r>
    </w:p>
    <w:tbl>
      <w:tblPr>
        <w:tblStyle w:val="Table"/>
        <w:tblW w:w="9071" w:type="dxa"/>
        <w:tblBorders>
          <w:top w:val="single" w:sz="12" w:space="0" w:color="000000"/>
          <w:left w:val="nil"/>
          <w:bottom w:val="single" w:sz="12"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Caption w:val="Table 2. Notation."/>
      </w:tblPr>
      <w:tblGrid>
        <w:gridCol w:w="1251"/>
        <w:gridCol w:w="7819"/>
      </w:tblGrid>
      <w:tr>
        <w:trPr>
          <w:cantSplit w:val="true"/>
          <w:tblHeader w:val="on"/>
          <w:tblHeader w:val="true"/>
        </w:trPr>
        <w:tc>
          <w:tcPr>
            <w:tcW w:w="1251" w:type="dxa"/>
            <w:tcBorders>
              <w:bottom w:val="single" w:sz="6" w:space="0" w:color="000000"/>
            </w:tcBorders>
          </w:tcPr>
          <w:p>
            <w:pPr>
              <w:pStyle w:val="Compact"/>
              <w:keepLines/>
              <w:jc w:val="left"/>
            </w:pPr>
            <w:r>
              <w:rPr>
                <w:b/>
                <w:sz w:val="17"/>
              </w:rPr>
              <w:t xml:space="preserve">Symbol</w:t>
            </w:r>
          </w:p>
        </w:tc>
        <w:tc>
          <w:tcPr>
            <w:tcW w:w="7819" w:type="dxa"/>
            <w:tcBorders>
              <w:bottom w:val="single" w:sz="6" w:space="0" w:color="000000"/>
            </w:tcBorders>
          </w:tcPr>
          <w:p>
            <w:pPr>
              <w:pStyle w:val="Compact"/>
              <w:keepLines/>
              <w:jc w:val="left"/>
            </w:pPr>
            <w:r>
              <w:rPr>
                <w:b/>
                <w:sz w:val="17"/>
              </w:rPr>
              <w:t xml:space="preserve">Meaning</w:t>
            </w:r>
          </w:p>
        </w:tc>
      </w:tr>
      <w:tr>
        <w:trPr>
          <w:cantSplit w:val="true"/>
        </w:trPr>
        <w:tc>
          <w:tcPr>
            <w:tcW w:w="1251" w:type="dxa"/>
          </w:tcPr>
          <w:p>
            <w:pPr>
              <w:pStyle w:val="Compact"/>
              <w:keepLines/>
              <w:jc w:val="left"/>
            </w:pPr>
            <m:oMath>
              <m:r>
                <m:t>G</m:t>
              </m:r>
            </m:oMath>
            <w:r>
              <w:rPr>
                <w:sz w:val="17"/>
              </w:rPr>
              <w:t xml:space="preserve">,</w:t>
            </w:r>
            <w:r>
              <w:rPr>
                <w:sz w:val="17"/>
              </w:rPr>
              <w:t xml:space="preserve"> </w:t>
            </w:r>
            <m:oMath>
              <m:sSub>
                <m:e>
                  <m:r>
                    <m:t>m</m:t>
                  </m:r>
                </m:e>
                <m:sub>
                  <m:r>
                    <m:t>i</m:t>
                  </m:r>
                </m:sub>
              </m:sSub>
            </m:oMath>
            <w:r>
              <w:rPr>
                <w:sz w:val="17"/>
              </w:rPr>
              <w:t xml:space="preserve">,</w:t>
            </w:r>
            <w:r>
              <w:rPr>
                <w:sz w:val="17"/>
              </w:rPr>
              <w:t xml:space="preserve"> </w:t>
            </w:r>
            <m:oMath>
              <m:r>
                <m:t>N</m:t>
              </m:r>
            </m:oMath>
          </w:p>
        </w:tc>
        <w:tc>
          <w:tcPr>
            <w:tcW w:w="7819" w:type="dxa"/>
          </w:tcPr>
          <w:p>
            <w:pPr>
              <w:pStyle w:val="Compact"/>
              <w:keepLines/>
              <w:jc w:val="left"/>
            </w:pPr>
            <w:r>
              <w:rPr>
                <w:sz w:val="17"/>
              </w:rPr>
              <w:t xml:space="preserve">Number of groups; number of rows in group</w:t>
            </w:r>
            <w:r>
              <w:rPr>
                <w:sz w:val="17"/>
              </w:rPr>
              <w:t xml:space="preserve"> </w:t>
            </w:r>
            <m:oMath>
              <m:r>
                <m:t>i</m:t>
              </m:r>
            </m:oMath>
            <w:r>
              <w:rPr>
                <w:sz w:val="17"/>
              </w:rPr>
              <w:t xml:space="preserve">; total number of rows</w:t>
            </w:r>
          </w:p>
        </w:tc>
      </w:tr>
      <w:tr>
        <w:trPr>
          <w:cantSplit w:val="true"/>
        </w:trPr>
        <w:tc>
          <w:tcPr>
            <w:tcW w:w="1251" w:type="dxa"/>
          </w:tcPr>
          <w:p>
            <w:pPr>
              <w:pStyle w:val="Compact"/>
              <w:keepLines/>
              <w:jc w:val="left"/>
            </w:pPr>
            <m:oMath>
              <m:r>
                <m:rPr>
                  <m:sty m:val="p"/>
                </m:rPr>
                <m:t>(</m:t>
              </m:r>
              <m:sSub>
                <m:e>
                  <m:r>
                    <m:t>x</m:t>
                  </m:r>
                </m:e>
                <m:sub>
                  <m:r>
                    <m:t>i</m:t>
                  </m:r>
                  <m:r>
                    <m:t>j</m:t>
                  </m:r>
                </m:sub>
              </m:sSub>
              <m:r>
                <m:rPr>
                  <m:sty m:val="p"/>
                </m:rPr>
                <m:t>,</m:t>
              </m:r>
              <m:sSub>
                <m:e>
                  <m:r>
                    <m:t>y</m:t>
                  </m:r>
                </m:e>
                <m:sub>
                  <m:r>
                    <m:t>i</m:t>
                  </m:r>
                  <m:r>
                    <m:t>j</m:t>
                  </m:r>
                </m:sub>
              </m:sSub>
              <m:r>
                <m:rPr>
                  <m:sty m:val="p"/>
                </m:rPr>
                <m:t>)</m:t>
              </m:r>
            </m:oMath>
          </w:p>
        </w:tc>
        <w:tc>
          <w:tcPr>
            <w:tcW w:w="7819" w:type="dxa"/>
          </w:tcPr>
          <w:p>
            <w:pPr>
              <w:pStyle w:val="Compact"/>
              <w:keepLines/>
              <w:jc w:val="left"/>
            </w:pPr>
            <w:r>
              <w:rPr>
                <w:sz w:val="17"/>
              </w:rPr>
              <w:t xml:space="preserve">Features and target of row</w:t>
            </w:r>
            <w:r>
              <w:rPr>
                <w:sz w:val="17"/>
              </w:rPr>
              <w:t xml:space="preserve"> </w:t>
            </w:r>
            <m:oMath>
              <m:r>
                <m:t>j</m:t>
              </m:r>
            </m:oMath>
            <w:r>
              <w:rPr>
                <w:sz w:val="17"/>
              </w:rPr>
              <w:t xml:space="preserve"> </w:t>
            </w:r>
            <w:r>
              <w:rPr>
                <w:sz w:val="17"/>
              </w:rPr>
              <w:t xml:space="preserve">in group</w:t>
            </w:r>
            <w:r>
              <w:rPr>
                <w:sz w:val="17"/>
              </w:rPr>
              <w:t xml:space="preserve"> </w:t>
            </w:r>
            <m:oMath>
              <m:r>
                <m:t>i</m:t>
              </m:r>
            </m:oMath>
          </w:p>
        </w:tc>
      </w:tr>
      <w:tr>
        <w:trPr>
          <w:cantSplit w:val="true"/>
        </w:trPr>
        <w:tc>
          <w:tcPr>
            <w:tcW w:w="1251" w:type="dxa"/>
          </w:tcPr>
          <w:p>
            <w:pPr>
              <w:pStyle w:val="Compact"/>
              <w:keepLines/>
              <w:jc w:val="left"/>
            </w:pPr>
            <m:oMath>
              <m:r>
                <m:t>f</m:t>
              </m:r>
            </m:oMath>
            <w:r>
              <w:rPr>
                <w:sz w:val="17"/>
              </w:rPr>
              <w:t xml:space="preserve">,</w:t>
            </w:r>
            <w:r>
              <w:rPr>
                <w:sz w:val="17"/>
              </w:rPr>
              <w:t xml:space="preserve"> </w:t>
            </w:r>
            <m:oMath>
              <m:acc>
                <m:accPr>
                  <m:chr m:val="̂"/>
                </m:accPr>
                <m:e>
                  <m:r>
                    <m:t>f</m:t>
                  </m:r>
                </m:e>
              </m:acc>
            </m:oMath>
          </w:p>
        </w:tc>
        <w:tc>
          <w:tcPr>
            <w:tcW w:w="7819" w:type="dxa"/>
          </w:tcPr>
          <w:p>
            <w:pPr>
              <w:pStyle w:val="Compact"/>
              <w:keepLines/>
              <w:jc w:val="left"/>
            </w:pPr>
            <w:r>
              <w:rPr>
                <w:sz w:val="17"/>
              </w:rPr>
              <w:t xml:space="preserve">Shared (generalisable) signal and its estimate</w:t>
            </w:r>
          </w:p>
        </w:tc>
      </w:tr>
      <w:tr>
        <w:trPr>
          <w:cantSplit w:val="true"/>
        </w:trPr>
        <w:tc>
          <w:tcPr>
            <w:tcW w:w="1251" w:type="dxa"/>
          </w:tcPr>
          <w:p>
            <w:pPr>
              <w:pStyle w:val="Compact"/>
              <w:keepLines/>
              <w:jc w:val="left"/>
            </w:pPr>
            <m:oMath>
              <m:sSub>
                <m:e>
                  <m:r>
                    <m:t>u</m:t>
                  </m:r>
                </m:e>
                <m:sub>
                  <m:r>
                    <m:t>i</m:t>
                  </m:r>
                </m:sub>
              </m:sSub>
            </m:oMath>
            <w:r>
              <w:rPr>
                <w:sz w:val="17"/>
              </w:rPr>
              <w:t xml:space="preserve">,</w:t>
            </w:r>
            <w:r>
              <w:rPr>
                <w:sz w:val="17"/>
              </w:rPr>
              <w:t xml:space="preserve"> </w:t>
            </w:r>
            <m:oMath>
              <m:sSub>
                <m:e>
                  <m:r>
                    <m:t>ε</m:t>
                  </m:r>
                </m:e>
                <m:sub>
                  <m:r>
                    <m:t>i</m:t>
                  </m:r>
                  <m:r>
                    <m:t>j</m:t>
                  </m:r>
                </m:sub>
              </m:sSub>
            </m:oMath>
          </w:p>
        </w:tc>
        <w:tc>
          <w:tcPr>
            <w:tcW w:w="7819" w:type="dxa"/>
          </w:tcPr>
          <w:p>
            <w:pPr>
              <w:pStyle w:val="Compact"/>
              <w:keepLines/>
              <w:jc w:val="left"/>
            </w:pPr>
            <w:r>
              <w:rPr>
                <w:sz w:val="17"/>
              </w:rPr>
              <w:t xml:space="preserve">Group-specific offset and row-level noise, with variances</w:t>
            </w:r>
            <w:r>
              <w:rPr>
                <w:sz w:val="17"/>
              </w:rPr>
              <w:t xml:space="preserve"> </w:t>
            </w:r>
            <m:oMath>
              <m:sSubSup>
                <m:e>
                  <m:r>
                    <m:t>σ</m:t>
                  </m:r>
                </m:e>
                <m:sub>
                  <m:r>
                    <m:t>u</m:t>
                  </m:r>
                </m:sub>
                <m:sup>
                  <m:r>
                    <m:t>2</m:t>
                  </m:r>
                </m:sup>
              </m:sSubSup>
            </m:oMath>
            <w:r>
              <w:rPr>
                <w:sz w:val="17"/>
              </w:rPr>
              <w:t xml:space="preserve"> </w:t>
            </w:r>
            <w:r>
              <w:rPr>
                <w:sz w:val="17"/>
              </w:rPr>
              <w:t xml:space="preserve">and</w:t>
            </w:r>
            <w:r>
              <w:rPr>
                <w:sz w:val="17"/>
              </w:rPr>
              <w:t xml:space="preserve"> </w:t>
            </w:r>
            <m:oMath>
              <m:sSubSup>
                <m:e>
                  <m:r>
                    <m:t>σ</m:t>
                  </m:r>
                </m:e>
                <m:sub>
                  <m:r>
                    <m:t>ε</m:t>
                  </m:r>
                </m:sub>
                <m:sup>
                  <m:r>
                    <m:t>2</m:t>
                  </m:r>
                </m:sup>
              </m:sSubSup>
            </m:oMath>
          </w:p>
        </w:tc>
      </w:tr>
      <w:tr>
        <w:trPr>
          <w:cantSplit w:val="true"/>
        </w:trPr>
        <w:tc>
          <w:tcPr>
            <w:tcW w:w="1251" w:type="dxa"/>
          </w:tcPr>
          <w:p>
            <w:pPr>
              <w:pStyle w:val="Compact"/>
              <w:keepLines/>
              <w:jc w:val="left"/>
            </w:pPr>
            <m:oMath>
              <m:r>
                <m:t>r</m:t>
              </m:r>
            </m:oMath>
          </w:p>
        </w:tc>
        <w:tc>
          <w:tcPr>
            <w:tcW w:w="7819" w:type="dxa"/>
          </w:tcPr>
          <w:p>
            <w:pPr>
              <w:pStyle w:val="Compact"/>
              <w:keepLines/>
              <w:jc w:val="left"/>
            </w:pPr>
            <w:r>
              <w:rPr>
                <w:sz w:val="17"/>
              </w:rPr>
              <w:t xml:space="preserve">Intraclass correlation (ICC) of the residual,</w:t>
            </w:r>
            <w:r>
              <w:rPr>
                <w:sz w:val="17"/>
              </w:rPr>
              <w:t xml:space="preserve"> </w:t>
            </w:r>
            <m:oMath>
              <m:r>
                <m:t>r</m:t>
              </m:r>
              <m:r>
                <m:rPr>
                  <m:sty m:val="p"/>
                </m:rPr>
                <m:t>=</m:t>
              </m:r>
              <m:sSubSup>
                <m:e>
                  <m:r>
                    <m:t>σ</m:t>
                  </m:r>
                </m:e>
                <m:sub>
                  <m:r>
                    <m:t>u</m:t>
                  </m:r>
                </m:sub>
                <m:sup>
                  <m:r>
                    <m:t>2</m:t>
                  </m:r>
                </m:sup>
              </m:sSubSup>
              <m:r>
                <m:rPr>
                  <m:sty m:val="p"/>
                </m:rPr>
                <m:t>/</m:t>
              </m:r>
              <m:r>
                <m:rPr>
                  <m:sty m:val="p"/>
                </m:rPr>
                <m:t>(</m:t>
              </m:r>
              <m:sSubSup>
                <m:e>
                  <m:r>
                    <m:t>σ</m:t>
                  </m:r>
                </m:e>
                <m:sub>
                  <m:r>
                    <m:t>u</m:t>
                  </m:r>
                </m:sub>
                <m:sup>
                  <m:r>
                    <m:t>2</m:t>
                  </m:r>
                </m:sup>
              </m:sSubSup>
              <m:r>
                <m:rPr>
                  <m:sty m:val="p"/>
                </m:rPr>
                <m:t>+</m:t>
              </m:r>
              <m:sSubSup>
                <m:e>
                  <m:r>
                    <m:t>σ</m:t>
                  </m:r>
                </m:e>
                <m:sub>
                  <m:r>
                    <m:t>ε</m:t>
                  </m:r>
                </m:sub>
                <m:sup>
                  <m:r>
                    <m:t>2</m:t>
                  </m:r>
                </m:sup>
              </m:sSubSup>
              <m:r>
                <m:rPr>
                  <m:sty m:val="p"/>
                </m:rPr>
                <m:t>)</m:t>
              </m:r>
            </m:oMath>
          </w:p>
        </w:tc>
      </w:tr>
      <w:tr>
        <w:trPr>
          <w:cantSplit w:val="true"/>
        </w:trPr>
        <w:tc>
          <w:tcPr>
            <w:tcW w:w="1251" w:type="dxa"/>
          </w:tcPr>
          <w:p>
            <w:pPr>
              <w:pStyle w:val="Compact"/>
              <w:keepLines/>
              <w:jc w:val="left"/>
            </w:pPr>
            <m:oMath>
              <m:r>
                <m:t>K</m:t>
              </m:r>
            </m:oMath>
            <w:r>
              <w:rPr>
                <w:sz w:val="17"/>
              </w:rPr>
              <w:t xml:space="preserve">,</w:t>
            </w:r>
            <w:r>
              <w:rPr>
                <w:sz w:val="17"/>
              </w:rPr>
              <w:t xml:space="preserve"> </w:t>
            </w:r>
            <m:oMath>
              <m:r>
                <m:t>n</m:t>
              </m:r>
            </m:oMath>
          </w:p>
        </w:tc>
        <w:tc>
          <w:tcPr>
            <w:tcW w:w="7819" w:type="dxa"/>
          </w:tcPr>
          <w:p>
            <w:pPr>
              <w:pStyle w:val="Compact"/>
              <w:keepLines/>
              <w:jc w:val="left"/>
            </w:pPr>
            <w:r>
              <w:rPr>
                <w:sz w:val="17"/>
              </w:rPr>
              <w:t xml:space="preserve">Number of folds; mean number of training rows per group in a training set</w:t>
            </w:r>
          </w:p>
        </w:tc>
      </w:tr>
      <w:tr>
        <w:trPr>
          <w:cantSplit w:val="true"/>
        </w:trPr>
        <w:tc>
          <w:tcPr>
            <w:tcW w:w="1251" w:type="dxa"/>
          </w:tcPr>
          <w:p>
            <w:pPr>
              <w:pStyle w:val="Compact"/>
              <w:keepLines/>
              <w:jc w:val="left"/>
            </w:pPr>
            <m:oMath>
              <m:sSub>
                <m:e>
                  <m:r>
                    <m:t>R</m:t>
                  </m:r>
                </m:e>
                <m:sub>
                  <m:r>
                    <m:rPr>
                      <m:sty m:val="p"/>
                    </m:rPr>
                    <m:t>r</m:t>
                  </m:r>
                  <m:r>
                    <m:rPr>
                      <m:sty m:val="p"/>
                    </m:rPr>
                    <m:t>a</m:t>
                  </m:r>
                  <m:r>
                    <m:rPr>
                      <m:sty m:val="p"/>
                    </m:rPr>
                    <m:t>n</m:t>
                  </m:r>
                  <m:r>
                    <m:rPr>
                      <m:sty m:val="p"/>
                    </m:rPr>
                    <m:t>d</m:t>
                  </m:r>
                </m:sub>
              </m:sSub>
            </m:oMath>
            <w:r>
              <w:rPr>
                <w:sz w:val="17"/>
              </w:rPr>
              <w:t xml:space="preserve">,</w:t>
            </w:r>
            <w:r>
              <w:rPr>
                <w:sz w:val="17"/>
              </w:rPr>
              <w:t xml:space="preserve"> </w:t>
            </w:r>
            <m:oMath>
              <m:sSub>
                <m:e>
                  <m:r>
                    <m:t>R</m:t>
                  </m:r>
                </m:e>
                <m:sub>
                  <m:r>
                    <m:rPr>
                      <m:sty m:val="p"/>
                    </m:rPr>
                    <m:t>g</m:t>
                  </m:r>
                  <m:r>
                    <m:rPr>
                      <m:sty m:val="p"/>
                    </m:rPr>
                    <m:t>r</m:t>
                  </m:r>
                  <m:r>
                    <m:rPr>
                      <m:sty m:val="p"/>
                    </m:rPr>
                    <m:t>p</m:t>
                  </m:r>
                </m:sub>
              </m:sSub>
            </m:oMath>
          </w:p>
        </w:tc>
        <w:tc>
          <w:tcPr>
            <w:tcW w:w="7819" w:type="dxa"/>
          </w:tcPr>
          <w:p>
            <w:pPr>
              <w:pStyle w:val="Compact"/>
              <w:keepLines/>
              <w:jc w:val="left"/>
            </w:pPr>
            <w:r>
              <w:rPr>
                <w:sz w:val="17"/>
              </w:rPr>
              <w:t xml:space="preserve">Mean-squared error on test rows from seen groups and from unseen groups</w:t>
            </w:r>
          </w:p>
        </w:tc>
      </w:tr>
      <w:tr>
        <w:trPr>
          <w:cantSplit w:val="true"/>
        </w:trPr>
        <w:tc>
          <w:tcPr>
            <w:tcW w:w="1251" w:type="dxa"/>
          </w:tcPr>
          <w:p>
            <w:pPr>
              <w:pStyle w:val="Compact"/>
              <w:keepLines/>
              <w:jc w:val="left"/>
            </w:pPr>
            <m:oMath>
              <m:r>
                <m:t>ρ</m:t>
              </m:r>
            </m:oMath>
          </w:p>
        </w:tc>
        <w:tc>
          <w:tcPr>
            <w:tcW w:w="7819" w:type="dxa"/>
          </w:tcPr>
          <w:p>
            <w:pPr>
              <w:pStyle w:val="Compact"/>
              <w:keepLines/>
              <w:jc w:val="left"/>
            </w:pPr>
            <w:r>
              <w:rPr>
                <w:sz w:val="17"/>
              </w:rPr>
              <w:t xml:space="preserve">Inflation ratio</w:t>
            </w:r>
            <w:r>
              <w:rPr>
                <w:sz w:val="17"/>
              </w:rPr>
              <w:t xml:space="preserve"> </w:t>
            </w:r>
            <m:oMath>
              <m:rad>
                <m:radPr>
                  <m:degHide m:val="on"/>
                </m:radPr>
                <m:deg/>
                <m:e>
                  <m:sSub>
                    <m:e>
                      <m:r>
                        <m:t>R</m:t>
                      </m:r>
                    </m:e>
                    <m:sub>
                      <m:r>
                        <m:rPr>
                          <m:sty m:val="p"/>
                        </m:rPr>
                        <m:t>g</m:t>
                      </m:r>
                      <m:r>
                        <m:rPr>
                          <m:sty m:val="p"/>
                        </m:rPr>
                        <m:t>r</m:t>
                      </m:r>
                      <m:r>
                        <m:rPr>
                          <m:sty m:val="p"/>
                        </m:rPr>
                        <m:t>p</m:t>
                      </m:r>
                    </m:sub>
                  </m:sSub>
                  <m:r>
                    <m:rPr>
                      <m:sty m:val="p"/>
                    </m:rPr>
                    <m:t>/</m:t>
                  </m:r>
                  <m:sSub>
                    <m:e>
                      <m:r>
                        <m:t>R</m:t>
                      </m:r>
                    </m:e>
                    <m:sub>
                      <m:r>
                        <m:rPr>
                          <m:sty m:val="p"/>
                        </m:rPr>
                        <m:t>r</m:t>
                      </m:r>
                      <m:r>
                        <m:rPr>
                          <m:sty m:val="p"/>
                        </m:rPr>
                        <m:t>a</m:t>
                      </m:r>
                      <m:r>
                        <m:rPr>
                          <m:sty m:val="p"/>
                        </m:rPr>
                        <m:t>n</m:t>
                      </m:r>
                      <m:r>
                        <m:rPr>
                          <m:sty m:val="p"/>
                        </m:rPr>
                        <m:t>d</m:t>
                      </m:r>
                    </m:sub>
                  </m:sSub>
                </m:e>
              </m:rad>
            </m:oMath>
            <w:r>
              <w:rPr>
                <w:sz w:val="17"/>
              </w:rPr>
              <w:t xml:space="preserve"> </w:t>
            </w:r>
            <w:r>
              <w:rPr>
                <w:sz w:val="17"/>
              </w:rPr>
              <w:t xml:space="preserve">(ratio of RMSEs)</w:t>
            </w:r>
          </w:p>
        </w:tc>
      </w:tr>
      <w:tr>
        <w:trPr>
          <w:cantSplit w:val="true"/>
        </w:trPr>
        <w:tc>
          <w:tcPr>
            <w:tcW w:w="1251" w:type="dxa"/>
          </w:tcPr>
          <w:p>
            <w:pPr>
              <w:pStyle w:val="Compact"/>
              <w:keepLines/>
              <w:jc w:val="left"/>
            </w:pPr>
            <m:oMath>
              <m:r>
                <m:t>κ</m:t>
              </m:r>
            </m:oMath>
          </w:p>
        </w:tc>
        <w:tc>
          <w:tcPr>
            <w:tcW w:w="7819" w:type="dxa"/>
          </w:tcPr>
          <w:p>
            <w:pPr>
              <w:pStyle w:val="Compact"/>
              <w:keepLines/>
              <w:jc w:val="left"/>
            </w:pPr>
            <w:r>
              <w:rPr>
                <w:sz w:val="17"/>
              </w:rPr>
              <w:t xml:space="preserve">Memorisation capacity of a learner,</w:t>
            </w:r>
            <w:r>
              <w:rPr>
                <w:sz w:val="17"/>
              </w:rPr>
              <w:t xml:space="preserve"> </w:t>
            </w:r>
            <m:oMath>
              <m:r>
                <m:t>0</m:t>
              </m:r>
              <m:r>
                <m:rPr>
                  <m:sty m:val="p"/>
                </m:rPr>
                <m:t>≤</m:t>
              </m:r>
              <m:r>
                <m:t>κ</m:t>
              </m:r>
              <m:r>
                <m:rPr>
                  <m:sty m:val="p"/>
                </m:rPr>
                <m:t>≤</m:t>
              </m:r>
              <m:r>
                <m:t>1</m:t>
              </m:r>
            </m:oMath>
          </w:p>
        </w:tc>
      </w:tr>
      <w:tr>
        <w:trPr>
          <w:cantSplit w:val="true"/>
        </w:trPr>
        <w:tc>
          <w:tcPr>
            <w:tcW w:w="1251" w:type="dxa"/>
          </w:tcPr>
          <w:p>
            <w:pPr>
              <w:pStyle w:val="Compact"/>
              <w:keepLines/>
              <w:jc w:val="left"/>
            </w:pPr>
            <m:oMath>
              <m:r>
                <m:t>L</m:t>
              </m:r>
              <m:r>
                <m:rPr>
                  <m:sty m:val="p"/>
                </m:rPr>
                <m:t>(</m:t>
              </m:r>
              <m:r>
                <m:t>K</m:t>
              </m:r>
              <m:r>
                <m:rPr>
                  <m:sty m:val="p"/>
                </m:rPr>
                <m:t>)</m:t>
              </m:r>
            </m:oMath>
          </w:p>
        </w:tc>
        <w:tc>
          <w:tcPr>
            <w:tcW w:w="7819" w:type="dxa"/>
          </w:tcPr>
          <w:p>
            <w:pPr>
              <w:pStyle w:val="Compact"/>
              <w:keepLines/>
              <w:jc w:val="left"/>
            </w:pPr>
            <w:r>
              <w:rPr>
                <w:sz w:val="17"/>
              </w:rPr>
              <w:t xml:space="preserve">Expected fraction of test rows with at least one group-mate in training</w:t>
            </w:r>
          </w:p>
        </w:tc>
      </w:tr>
      <w:tr>
        <w:trPr>
          <w:cantSplit w:val="true"/>
        </w:trPr>
        <w:tc>
          <w:tcPr>
            <w:tcW w:w="1251" w:type="dxa"/>
          </w:tcPr>
          <w:p>
            <w:pPr>
              <w:pStyle w:val="Compact"/>
              <w:keepLines/>
              <w:jc w:val="left"/>
            </w:pPr>
            <m:oMath>
              <m:r>
                <m:t>S</m:t>
              </m:r>
              <m:r>
                <m:t>S</m:t>
              </m:r>
            </m:oMath>
          </w:p>
        </w:tc>
        <w:tc>
          <w:tcPr>
            <w:tcW w:w="7819" w:type="dxa"/>
          </w:tcPr>
          <w:p>
            <w:pPr>
              <w:pStyle w:val="Compact"/>
              <w:keepLines/>
              <w:jc w:val="left"/>
            </w:pPr>
            <w:r>
              <w:rPr>
                <w:sz w:val="17"/>
              </w:rPr>
              <w:t xml:space="preserve">Skill score relative to the training-mean predictor</w:t>
            </w:r>
          </w:p>
        </w:tc>
      </w:tr>
    </w:tbl>
    <w:bookmarkStart w:id="25" w:name="setting"/>
    <w:p>
      <w:pPr>
        <w:pStyle w:val="Heading2"/>
      </w:pPr>
      <w:r>
        <w:rPr>
          <w:rStyle w:val="SectionNumber"/>
        </w:rPr>
        <w:t xml:space="preserve">3.1</w:t>
      </w:r>
      <w:r>
        <w:tab/>
      </w:r>
      <w:r>
        <w:t xml:space="preserve">Setting</w:t>
      </w:r>
    </w:p>
    <w:p>
      <w:pPr>
        <w:pStyle w:val="FirstParagraph"/>
      </w:pPr>
      <w:r>
        <w:t xml:space="preserve">Let the data consist of</w:t>
      </w:r>
      <w:r>
        <w:t xml:space="preserve"> </w:t>
      </w:r>
      <m:oMath>
        <m:r>
          <m:t>G</m:t>
        </m:r>
      </m:oMath>
      <w:r>
        <w:t xml:space="preserve"> </w:t>
      </w:r>
      <w:r>
        <w:t xml:space="preserve">groups, with</w:t>
      </w:r>
      <w:r>
        <w:t xml:space="preserve"> </w:t>
      </w:r>
      <m:oMath>
        <m:sSub>
          <m:e>
            <m:r>
              <m:t>m</m:t>
            </m:r>
          </m:e>
          <m:sub>
            <m:r>
              <m:t>i</m:t>
            </m:r>
          </m:sub>
        </m:sSub>
      </m:oMath>
      <w:r>
        <w:t xml:space="preserve"> </w:t>
      </w:r>
      <w:r>
        <w:t xml:space="preserve">rows in group</w:t>
      </w:r>
      <w:r>
        <w:t xml:space="preserve"> </w:t>
      </w:r>
      <m:oMath>
        <m:r>
          <m:t>i</m:t>
        </m:r>
      </m:oMath>
      <w:r>
        <w:t xml:space="preserve"> </w:t>
      </w:r>
      <w:r>
        <w:t xml:space="preserve">and</w:t>
      </w:r>
      <w:r>
        <w:t xml:space="preserve"> </w:t>
      </w:r>
      <m:oMath>
        <m:r>
          <m:t>N</m:t>
        </m:r>
        <m:r>
          <m:rPr>
            <m:sty m:val="p"/>
          </m:rPr>
          <m:t>=</m:t>
        </m:r>
        <m:nary>
          <m:naryPr>
            <m:chr m:val="∑"/>
            <m:limLoc m:val="undOvr"/>
            <m:subHide m:val="off"/>
            <m:supHide m:val="on"/>
          </m:naryPr>
          <m:sub>
            <m:r>
              <m:t>i</m:t>
            </m:r>
          </m:sub>
          <m:sup>
            <m:r>
              <m:t>​</m:t>
            </m:r>
          </m:sup>
          <m:e>
            <m:sSub>
              <m:e>
                <m:r>
                  <m:t>m</m:t>
                </m:r>
              </m:e>
              <m:sub>
                <m:r>
                  <m:t>i</m:t>
                </m:r>
              </m:sub>
            </m:sSub>
          </m:e>
        </m:nary>
      </m:oMath>
      <w:r>
        <w:t xml:space="preserve"> </w:t>
      </w:r>
      <w:r>
        <w:t xml:space="preserve">rows in total. We assume the random-effects structure</w:t>
      </w:r>
    </w:p>
    <w:p>
      <w:pPr>
        <w:pStyle w:val="BodyText"/>
      </w:pPr>
      <m:oMathPara>
        <m:oMathParaPr>
          <m:jc m:val="center"/>
        </m:oMathParaPr>
        <m:oMath>
          <m:sSub>
            <m:e>
              <m:r>
                <m:t>y</m:t>
              </m:r>
            </m:e>
            <m:sub>
              <m:r>
                <m:t>i</m:t>
              </m:r>
              <m:r>
                <m:t>j</m:t>
              </m:r>
            </m:sub>
          </m:sSub>
          <m:r>
            <m:rPr>
              <m:sty m:val="p"/>
            </m:rPr>
            <m:t>=</m:t>
          </m:r>
          <m:r>
            <m:t>f</m:t>
          </m:r>
          <m:r>
            <m:rPr>
              <m:sty m:val="p"/>
            </m:rPr>
            <m:t>(</m:t>
          </m:r>
          <m:sSub>
            <m:e>
              <m:r>
                <m:t>x</m:t>
              </m:r>
            </m:e>
            <m:sub>
              <m:r>
                <m:t>i</m:t>
              </m:r>
              <m:r>
                <m:t>j</m:t>
              </m:r>
            </m:sub>
          </m:sSub>
          <m:r>
            <m:rPr>
              <m:sty m:val="p"/>
            </m:rPr>
            <m:t>)</m:t>
          </m:r>
          <m:r>
            <m:rPr>
              <m:sty m:val="p"/>
            </m:rPr>
            <m:t>+</m:t>
          </m:r>
          <m:sSub>
            <m:e>
              <m:r>
                <m:t>u</m:t>
              </m:r>
            </m:e>
            <m:sub>
              <m:r>
                <m:t>i</m:t>
              </m:r>
            </m:sub>
          </m:sSub>
          <m:r>
            <m:rPr>
              <m:sty m:val="p"/>
            </m:rPr>
            <m:t>+</m:t>
          </m:r>
          <m:sSub>
            <m:e>
              <m:r>
                <m:t>ε</m:t>
              </m:r>
            </m:e>
            <m:sub>
              <m:r>
                <m:t>i</m:t>
              </m:r>
              <m:r>
                <m:t>j</m:t>
              </m:r>
            </m:sub>
          </m:sSub>
          <m:r>
            <m:rPr>
              <m:sty m:val="p"/>
            </m:rPr>
            <m:t>,</m:t>
          </m:r>
          <m:r>
            <m:t>  </m:t>
          </m:r>
          <m:sSub>
            <m:e>
              <m:r>
                <m:t>u</m:t>
              </m:r>
            </m:e>
            <m:sub>
              <m:r>
                <m:t>i</m:t>
              </m:r>
            </m:sub>
          </m:sSub>
          <m:r>
            <m:rPr>
              <m:sty m:val="p"/>
            </m:rPr>
            <m:t>∼</m:t>
          </m:r>
          <m:r>
            <m:rPr>
              <m:sty m:val="p"/>
            </m:rPr>
            <m:t>(</m:t>
          </m:r>
          <m:r>
            <m:t>0</m:t>
          </m:r>
          <m:r>
            <m:rPr>
              <m:sty m:val="p"/>
            </m:rPr>
            <m:t>,</m:t>
          </m:r>
          <m:sSubSup>
            <m:e>
              <m:r>
                <m:t>σ</m:t>
              </m:r>
            </m:e>
            <m:sub>
              <m:r>
                <m:t>u</m:t>
              </m:r>
            </m:sub>
            <m:sup>
              <m:r>
                <m:t>2</m:t>
              </m:r>
            </m:sup>
          </m:sSubSup>
          <m:r>
            <m:rPr>
              <m:sty m:val="p"/>
            </m:rPr>
            <m:t>)</m:t>
          </m:r>
          <m:r>
            <m:rPr>
              <m:sty m:val="p"/>
            </m:rPr>
            <m:t>,</m:t>
          </m:r>
          <m:r>
            <m:t> </m:t>
          </m:r>
          <m:sSub>
            <m:e>
              <m:r>
                <m:t>ε</m:t>
              </m:r>
            </m:e>
            <m:sub>
              <m:r>
                <m:t>i</m:t>
              </m:r>
              <m:r>
                <m:t>j</m:t>
              </m:r>
            </m:sub>
          </m:sSub>
          <m:r>
            <m:rPr>
              <m:sty m:val="p"/>
            </m:rPr>
            <m:t>∼</m:t>
          </m:r>
          <m:r>
            <m:rPr>
              <m:sty m:val="p"/>
            </m:rPr>
            <m:t>(</m:t>
          </m:r>
          <m:r>
            <m:t>0</m:t>
          </m:r>
          <m:r>
            <m:rPr>
              <m:sty m:val="p"/>
            </m:rPr>
            <m:t>,</m:t>
          </m:r>
          <m:sSubSup>
            <m:e>
              <m:r>
                <m:t>σ</m:t>
              </m:r>
            </m:e>
            <m:sub>
              <m:r>
                <m:t>ε</m:t>
              </m:r>
            </m:sub>
            <m:sup>
              <m:r>
                <m:t>2</m:t>
              </m:r>
            </m:sup>
          </m:sSubSup>
          <m:r>
            <m:rPr>
              <m:sty m:val="p"/>
            </m:rPr>
            <m:t>)</m:t>
          </m:r>
          <m:r>
            <m:rPr>
              <m:sty m:val="p"/>
            </m:rPr>
            <m:t>,</m:t>
          </m:r>
          <m:r>
            <m:t>  </m:t>
          </m:r>
          <m:r>
            <m:t>  </m:t>
          </m:r>
          <m:r>
            <m:rPr>
              <m:sty m:val="p"/>
            </m:rPr>
            <m:t>(</m:t>
          </m:r>
          <m:r>
            <m:t>1</m:t>
          </m:r>
          <m:r>
            <m:rPr>
              <m:sty m:val="p"/>
            </m:rPr>
            <m:t>)</m:t>
          </m:r>
        </m:oMath>
      </m:oMathPara>
    </w:p>
    <w:p>
      <w:pPr>
        <w:pStyle w:val="FirstParagraph"/>
      </w:pPr>
      <w:r>
        <w:t xml:space="preserve">where</w:t>
      </w:r>
      <w:r>
        <w:t xml:space="preserve"> </w:t>
      </w:r>
      <m:oMath>
        <m:r>
          <m:t>f</m:t>
        </m:r>
      </m:oMath>
      <w:r>
        <w:t xml:space="preserve"> </w:t>
      </w:r>
      <w:r>
        <w:t xml:space="preserve">is a function that is shared across groups and can in principle be learnt from any group,</w:t>
      </w:r>
      <w:r>
        <w:t xml:space="preserve"> </w:t>
      </w:r>
      <m:oMath>
        <m:sSub>
          <m:e>
            <m:r>
              <m:t>u</m:t>
            </m:r>
          </m:e>
          <m:sub>
            <m:r>
              <m:t>i</m:t>
            </m:r>
          </m:sub>
        </m:sSub>
      </m:oMath>
      <w:r>
        <w:t xml:space="preserve"> </w:t>
      </w:r>
      <w:r>
        <w:t xml:space="preserve">is an offset that is specific to group</w:t>
      </w:r>
      <w:r>
        <w:t xml:space="preserve"> </w:t>
      </w:r>
      <m:oMath>
        <m:r>
          <m:t>i</m:t>
        </m:r>
      </m:oMath>
      <w:r>
        <w:t xml:space="preserve"> </w:t>
      </w:r>
      <w:r>
        <w:t xml:space="preserve">and not explained by</w:t>
      </w:r>
      <w:r>
        <w:t xml:space="preserve"> </w:t>
      </w:r>
      <m:oMath>
        <m:r>
          <m:t>f</m:t>
        </m:r>
        <m:r>
          <m:rPr>
            <m:sty m:val="p"/>
          </m:rPr>
          <m:t>(</m:t>
        </m:r>
        <m:r>
          <m:t>x</m:t>
        </m:r>
        <m:r>
          <m:rPr>
            <m:sty m:val="p"/>
          </m:rPr>
          <m:t>)</m:t>
        </m:r>
      </m:oMath>
      <w:r>
        <w:t xml:space="preserve">, and</w:t>
      </w:r>
      <w:r>
        <w:t xml:space="preserve"> </w:t>
      </w:r>
      <m:oMath>
        <m:sSub>
          <m:e>
            <m:r>
              <m:t>ε</m:t>
            </m:r>
          </m:e>
          <m:sub>
            <m:r>
              <m:t>i</m:t>
            </m:r>
            <m:r>
              <m:t>j</m:t>
            </m:r>
          </m:sub>
        </m:sSub>
      </m:oMath>
      <w:r>
        <w:t xml:space="preserve"> </w:t>
      </w:r>
      <w:r>
        <w:t xml:space="preserve">is noise; all random terms are independent. The features</w:t>
      </w:r>
      <w:r>
        <w:t xml:space="preserve"> </w:t>
      </w:r>
      <m:oMath>
        <m:sSub>
          <m:e>
            <m:r>
              <m:t>x</m:t>
            </m:r>
          </m:e>
          <m:sub>
            <m:r>
              <m:t>i</m:t>
            </m:r>
            <m:r>
              <m:t>j</m:t>
            </m:r>
          </m:sub>
        </m:sSub>
      </m:oMath>
      <w:r>
        <w:t xml:space="preserve"> </w:t>
      </w:r>
      <w:r>
        <w:t xml:space="preserve">may identify the group: in ENB2012 the attributes</w:t>
      </w:r>
      <w:r>
        <w:t xml:space="preserve"> </w:t>
      </w:r>
      <m:oMath>
        <m:sSub>
          <m:e>
            <m:r>
              <m:t>X</m:t>
            </m:r>
          </m:e>
          <m:sub>
            <m:r>
              <m:t>1</m:t>
            </m:r>
          </m:sub>
        </m:sSub>
        <m:r>
          <m:rPr>
            <m:sty m:val="p"/>
          </m:rPr>
          <m:t>,</m:t>
        </m:r>
        <m:r>
          <m:rPr>
            <m:sty m:val="p"/>
          </m:rPr>
          <m:t>…</m:t>
        </m:r>
        <m:r>
          <m:rPr>
            <m:sty m:val="p"/>
          </m:rPr>
          <m:t>,</m:t>
        </m:r>
        <m:sSub>
          <m:e>
            <m:r>
              <m:t>X</m:t>
            </m:r>
          </m:e>
          <m:sub>
            <m:r>
              <m:t>5</m:t>
            </m:r>
          </m:sub>
        </m:sSub>
      </m:oMath>
      <w:r>
        <w:t xml:space="preserve"> </w:t>
      </w:r>
      <w:r>
        <w:t xml:space="preserve">take one combination of values per geometry, in Parkinson’s data age and sex are constant within a patient, and in the concrete data the ingredient quantities identify the mix. A flexible learner can therefore associate a value of</w:t>
      </w:r>
      <w:r>
        <w:t xml:space="preserve"> </w:t>
      </w:r>
      <m:oMath>
        <m:r>
          <m:t>x</m:t>
        </m:r>
      </m:oMath>
      <w:r>
        <w:t xml:space="preserve"> </w:t>
      </w:r>
      <w:r>
        <w:t xml:space="preserve">with a group and, if it has seen rows of that group in training, learn the offset</w:t>
      </w:r>
      <w:r>
        <w:t xml:space="preserve"> </w:t>
      </w:r>
      <m:oMath>
        <m:sSub>
          <m:e>
            <m:r>
              <m:t>u</m:t>
            </m:r>
          </m:e>
          <m:sub>
            <m:r>
              <m:t>i</m:t>
            </m:r>
          </m:sub>
        </m:sSub>
      </m:oMath>
      <w:r>
        <w:t xml:space="preserve">. A model that sees only rows of other groups cannot.</w:t>
      </w:r>
    </w:p>
    <w:p>
      <w:pPr>
        <w:pStyle w:val="BodyText"/>
      </w:pPr>
      <w:r>
        <w:t xml:space="preserve">Write</w:t>
      </w:r>
      <w:r>
        <w:t xml:space="preserve"> </w:t>
      </w:r>
      <m:oMath>
        <m:sSup>
          <m:e>
            <m:r>
              <m:t>σ</m:t>
            </m:r>
          </m:e>
          <m:sup>
            <m:r>
              <m:t>2</m:t>
            </m:r>
          </m:sup>
        </m:sSup>
        <m:r>
          <m:rPr>
            <m:sty m:val="p"/>
          </m:rPr>
          <m:t>=</m:t>
        </m:r>
        <m:sSubSup>
          <m:e>
            <m:r>
              <m:t>σ</m:t>
            </m:r>
          </m:e>
          <m:sub>
            <m:r>
              <m:t>u</m:t>
            </m:r>
          </m:sub>
          <m:sup>
            <m:r>
              <m:t>2</m:t>
            </m:r>
          </m:sup>
        </m:sSubSup>
        <m:r>
          <m:rPr>
            <m:sty m:val="p"/>
          </m:rPr>
          <m:t>+</m:t>
        </m:r>
        <m:sSubSup>
          <m:e>
            <m:r>
              <m:t>σ</m:t>
            </m:r>
          </m:e>
          <m:sub>
            <m:r>
              <m:t>ε</m:t>
            </m:r>
          </m:sub>
          <m:sup>
            <m:r>
              <m:t>2</m:t>
            </m:r>
          </m:sup>
        </m:sSubSup>
      </m:oMath>
      <w:r>
        <w:t xml:space="preserve"> </w:t>
      </w:r>
      <w:r>
        <w:t xml:space="preserve">for the total residual variance and</w:t>
      </w:r>
    </w:p>
    <w:p>
      <w:pPr>
        <w:pStyle w:val="BodyText"/>
      </w:pPr>
      <m:oMathPara>
        <m:oMathParaPr>
          <m:jc m:val="center"/>
        </m:oMathParaPr>
        <m:oMath>
          <m:r>
            <m:t>r</m:t>
          </m:r>
          <m:r>
            <m:rPr>
              <m:sty m:val="p"/>
            </m:rPr>
            <m:t>=</m:t>
          </m:r>
          <m:f>
            <m:fPr>
              <m:type m:val="bar"/>
            </m:fPr>
            <m:num>
              <m:sSubSup>
                <m:e>
                  <m:r>
                    <m:t>σ</m:t>
                  </m:r>
                </m:e>
                <m:sub>
                  <m:r>
                    <m:t>u</m:t>
                  </m:r>
                </m:sub>
                <m:sup>
                  <m:r>
                    <m:t>2</m:t>
                  </m:r>
                </m:sup>
              </m:sSubSup>
            </m:num>
            <m:den>
              <m:sSubSup>
                <m:e>
                  <m:r>
                    <m:t>σ</m:t>
                  </m:r>
                </m:e>
                <m:sub>
                  <m:r>
                    <m:t>u</m:t>
                  </m:r>
                </m:sub>
                <m:sup>
                  <m:r>
                    <m:t>2</m:t>
                  </m:r>
                </m:sup>
              </m:sSubSup>
              <m:r>
                <m:rPr>
                  <m:sty m:val="p"/>
                </m:rPr>
                <m:t>+</m:t>
              </m:r>
              <m:sSubSup>
                <m:e>
                  <m:r>
                    <m:t>σ</m:t>
                  </m:r>
                </m:e>
                <m:sub>
                  <m:r>
                    <m:t>ε</m:t>
                  </m:r>
                </m:sub>
                <m:sup>
                  <m:r>
                    <m:t>2</m:t>
                  </m:r>
                </m:sup>
              </m:sSubSup>
            </m:den>
          </m:f>
          <m:r>
            <m:t>  </m:t>
          </m:r>
          <m:r>
            <m:t>  </m:t>
          </m:r>
          <m:r>
            <m:rPr>
              <m:sty m:val="p"/>
            </m:rPr>
            <m:t>(</m:t>
          </m:r>
          <m:r>
            <m:t>2</m:t>
          </m:r>
          <m:r>
            <m:rPr>
              <m:sty m:val="p"/>
            </m:rPr>
            <m:t>)</m:t>
          </m:r>
        </m:oMath>
      </m:oMathPara>
    </w:p>
    <w:p>
      <w:pPr>
        <w:pStyle w:val="FirstParagraph"/>
      </w:pPr>
      <w:r>
        <w:t xml:space="preserve">for the intraclass correlation of the residual, that is, the fraction of the residual variance that is a group offset [30, 31]. Note that</w:t>
      </w:r>
      <w:r>
        <w:t xml:space="preserve"> </w:t>
      </w:r>
      <m:oMath>
        <m:r>
          <m:t>r</m:t>
        </m:r>
      </m:oMath>
      <w:r>
        <w:t xml:space="preserve"> </w:t>
      </w:r>
      <w:r>
        <w:t xml:space="preserve">is defined after removing</w:t>
      </w:r>
      <w:r>
        <w:t xml:space="preserve"> </w:t>
      </w:r>
      <m:oMath>
        <m:r>
          <m:t>f</m:t>
        </m:r>
      </m:oMath>
      <w:r>
        <w:t xml:space="preserve">; the raw ICC of the target can be much larger when</w:t>
      </w:r>
      <w:r>
        <w:t xml:space="preserve"> </w:t>
      </w:r>
      <m:oMath>
        <m:r>
          <m:t>f</m:t>
        </m:r>
      </m:oMath>
      <w:r>
        <w:t xml:space="preserve"> </w:t>
      </w:r>
      <w:r>
        <w:t xml:space="preserve">varies strongly between groups.</w:t>
      </w:r>
    </w:p>
    <w:p>
      <w:pPr>
        <w:pStyle w:val="BodyText"/>
      </w:pPr>
      <w:r>
        <w:t xml:space="preserve">Let</w:t>
      </w:r>
      <w:r>
        <w:t xml:space="preserve"> </w:t>
      </w:r>
      <m:oMath>
        <m:acc>
          <m:accPr>
            <m:chr m:val="̂"/>
          </m:accPr>
          <m:e>
            <m:r>
              <m:t>h</m:t>
            </m:r>
          </m:e>
        </m:acc>
      </m:oMath>
      <w:r>
        <w:t xml:space="preserve"> </w:t>
      </w:r>
      <w:r>
        <w:t xml:space="preserve">be a predictor trained on a training set. We distinguish two risks. The</w:t>
      </w:r>
      <w:r>
        <w:t xml:space="preserve"> </w:t>
      </w:r>
      <w:r>
        <w:rPr>
          <w:i/>
          <w:iCs/>
        </w:rPr>
        <w:t xml:space="preserve">random-split risk</w:t>
      </w:r>
      <w:r>
        <w:t xml:space="preserve"> </w:t>
      </w:r>
      <m:oMath>
        <m:sSub>
          <m:e>
            <m:r>
              <m:t>R</m:t>
            </m:r>
          </m:e>
          <m:sub>
            <m:r>
              <m:rPr>
                <m:sty m:val="p"/>
              </m:rPr>
              <m:t>r</m:t>
            </m:r>
            <m:r>
              <m:rPr>
                <m:sty m:val="p"/>
              </m:rPr>
              <m:t>a</m:t>
            </m:r>
            <m:r>
              <m:rPr>
                <m:sty m:val="p"/>
              </m:rPr>
              <m:t>n</m:t>
            </m:r>
            <m:r>
              <m:rPr>
                <m:sty m:val="p"/>
              </m:rPr>
              <m:t>d</m:t>
            </m:r>
          </m:sub>
        </m:sSub>
      </m:oMath>
      <w:r>
        <w:t xml:space="preserve"> </w:t>
      </w:r>
      <w:r>
        <w:t xml:space="preserve">is the expected squared error on a test row whose group also contributes rows to the training set, which is what a random split measures when groups are large. The</w:t>
      </w:r>
      <w:r>
        <w:t xml:space="preserve"> </w:t>
      </w:r>
      <w:r>
        <w:rPr>
          <w:i/>
          <w:iCs/>
        </w:rPr>
        <w:t xml:space="preserve">group-held-out risk</w:t>
      </w:r>
      <w:r>
        <w:t xml:space="preserve"> </w:t>
      </w:r>
      <m:oMath>
        <m:sSub>
          <m:e>
            <m:r>
              <m:t>R</m:t>
            </m:r>
          </m:e>
          <m:sub>
            <m:r>
              <m:rPr>
                <m:sty m:val="p"/>
              </m:rPr>
              <m:t>g</m:t>
            </m:r>
            <m:r>
              <m:rPr>
                <m:sty m:val="p"/>
              </m:rPr>
              <m:t>r</m:t>
            </m:r>
            <m:r>
              <m:rPr>
                <m:sty m:val="p"/>
              </m:rPr>
              <m:t>p</m:t>
            </m:r>
          </m:sub>
        </m:sSub>
      </m:oMath>
      <w:r>
        <w:t xml:space="preserve"> </w:t>
      </w:r>
      <w:r>
        <w:t xml:space="preserve">is the expected squared error on a row from a group with no training rows, which is what a grouped split measures and what a user faces when predicting a new unit. The</w:t>
      </w:r>
      <w:r>
        <w:t xml:space="preserve"> </w:t>
      </w:r>
      <w:r>
        <w:rPr>
          <w:i/>
          <w:iCs/>
        </w:rPr>
        <w:t xml:space="preserve">inflation ratio</w:t>
      </w:r>
      <w:r>
        <w:t xml:space="preserve"> </w:t>
      </w:r>
      <w:r>
        <w:t xml:space="preserve">is</w:t>
      </w:r>
    </w:p>
    <w:p>
      <w:pPr>
        <w:pStyle w:val="BodyText"/>
      </w:pPr>
      <m:oMathPara>
        <m:oMathParaPr>
          <m:jc m:val="center"/>
        </m:oMathParaPr>
        <m:oMath>
          <m:r>
            <m:t>ρ</m:t>
          </m:r>
          <m:r>
            <m:rPr>
              <m:sty m:val="p"/>
            </m:rPr>
            <m:t>=</m:t>
          </m:r>
          <m:rad>
            <m:radPr>
              <m:degHide m:val="on"/>
            </m:radPr>
            <m:deg/>
            <m:e>
              <m:sSub>
                <m:e>
                  <m:r>
                    <m:t>R</m:t>
                  </m:r>
                </m:e>
                <m:sub>
                  <m:r>
                    <m:rPr>
                      <m:sty m:val="p"/>
                    </m:rPr>
                    <m:t>g</m:t>
                  </m:r>
                  <m:r>
                    <m:rPr>
                      <m:sty m:val="p"/>
                    </m:rPr>
                    <m:t>r</m:t>
                  </m:r>
                  <m:r>
                    <m:rPr>
                      <m:sty m:val="p"/>
                    </m:rPr>
                    <m:t>p</m:t>
                  </m:r>
                </m:sub>
              </m:sSub>
              <m:r>
                <m:rPr>
                  <m:sty m:val="p"/>
                </m:rPr>
                <m:t>/</m:t>
              </m:r>
              <m:sSub>
                <m:e>
                  <m:r>
                    <m:t>R</m:t>
                  </m:r>
                </m:e>
                <m:sub>
                  <m:r>
                    <m:rPr>
                      <m:sty m:val="p"/>
                    </m:rPr>
                    <m:t>r</m:t>
                  </m:r>
                  <m:r>
                    <m:rPr>
                      <m:sty m:val="p"/>
                    </m:rPr>
                    <m:t>a</m:t>
                  </m:r>
                  <m:r>
                    <m:rPr>
                      <m:sty m:val="p"/>
                    </m:rPr>
                    <m:t>n</m:t>
                  </m:r>
                  <m:r>
                    <m:rPr>
                      <m:sty m:val="p"/>
                    </m:rPr>
                    <m:t>d</m:t>
                  </m:r>
                </m:sub>
              </m:sSub>
            </m:e>
          </m:rad>
          <m:r>
            <m:t>  </m:t>
          </m:r>
          <m:r>
            <m:t>  </m:t>
          </m:r>
          <m:r>
            <m:rPr>
              <m:sty m:val="p"/>
            </m:rPr>
            <m:t>(</m:t>
          </m:r>
          <m:r>
            <m:t>3</m:t>
          </m:r>
          <m:r>
            <m:rPr>
              <m:sty m:val="p"/>
            </m:rPr>
            <m:t>)</m:t>
          </m:r>
        </m:oMath>
      </m:oMathPara>
    </w:p>
    <w:p>
      <w:pPr>
        <w:pStyle w:val="FirstParagraph"/>
      </w:pPr>
      <w:r>
        <w:t xml:space="preserve">and the</w:t>
      </w:r>
      <w:r>
        <w:t xml:space="preserve"> </w:t>
      </w:r>
      <w:r>
        <w:rPr>
          <w:i/>
          <w:iCs/>
        </w:rPr>
        <w:t xml:space="preserve">optimism</w:t>
      </w:r>
      <w:r>
        <w:t xml:space="preserve"> </w:t>
      </w:r>
      <w:r>
        <w:t xml:space="preserve">is</w:t>
      </w:r>
      <w:r>
        <w:t xml:space="preserve"> </w:t>
      </w:r>
      <m:oMath>
        <m:r>
          <m:rPr>
            <m:sty m:val="p"/>
          </m:rPr>
          <m:t>Δ</m:t>
        </m:r>
        <m:r>
          <m:rPr>
            <m:sty m:val="p"/>
          </m:rPr>
          <m:t>=</m:t>
        </m:r>
        <m:sSub>
          <m:e>
            <m:r>
              <m:t>R</m:t>
            </m:r>
          </m:e>
          <m:sub>
            <m:r>
              <m:rPr>
                <m:sty m:val="p"/>
              </m:rPr>
              <m:t>g</m:t>
            </m:r>
            <m:r>
              <m:rPr>
                <m:sty m:val="p"/>
              </m:rPr>
              <m:t>r</m:t>
            </m:r>
            <m:r>
              <m:rPr>
                <m:sty m:val="p"/>
              </m:rPr>
              <m:t>p</m:t>
            </m:r>
          </m:sub>
        </m:sSub>
        <m:r>
          <m:rPr>
            <m:sty m:val="p"/>
          </m:rPr>
          <m:t>−</m:t>
        </m:r>
        <m:sSub>
          <m:e>
            <m:r>
              <m:t>R</m:t>
            </m:r>
          </m:e>
          <m:sub>
            <m:r>
              <m:rPr>
                <m:sty m:val="p"/>
              </m:rPr>
              <m:t>r</m:t>
            </m:r>
            <m:r>
              <m:rPr>
                <m:sty m:val="p"/>
              </m:rPr>
              <m:t>a</m:t>
            </m:r>
            <m:r>
              <m:rPr>
                <m:sty m:val="p"/>
              </m:rPr>
              <m:t>n</m:t>
            </m:r>
            <m:r>
              <m:rPr>
                <m:sty m:val="p"/>
              </m:rPr>
              <m:t>d</m:t>
            </m:r>
          </m:sub>
        </m:sSub>
      </m:oMath>
      <w:r>
        <w:t xml:space="preserve">. With RMSE as the reported metric,</w:t>
      </w:r>
      <w:r>
        <w:t xml:space="preserve"> </w:t>
      </w:r>
      <m:oMath>
        <m:r>
          <m:t>ρ</m:t>
        </m:r>
      </m:oMath>
      <w:r>
        <w:t xml:space="preserve"> </w:t>
      </w:r>
      <w:r>
        <w:t xml:space="preserve">is the factor by which the held-out-group RMSE exceeds the random-split RMSE.</w:t>
      </w:r>
    </w:p>
    <w:bookmarkEnd w:id="25"/>
    <w:bookmarkStart w:id="26" w:name="X66269ccc05ff57d2062c57beb17b64d139f165e"/>
    <w:p>
      <w:pPr>
        <w:pStyle w:val="Heading2"/>
      </w:pPr>
      <w:r>
        <w:rPr>
          <w:rStyle w:val="SectionNumber"/>
        </w:rPr>
        <w:t xml:space="preserve">3.2</w:t>
      </w:r>
      <w:r>
        <w:tab/>
      </w:r>
      <w:r>
        <w:t xml:space="preserve">Inflation as a function of ICC and group size</w:t>
      </w:r>
    </w:p>
    <w:p>
      <w:pPr>
        <w:pStyle w:val="FirstParagraph"/>
      </w:pPr>
      <w:r>
        <w:rPr>
          <w:b/>
          <w:bCs/>
        </w:rPr>
        <w:t xml:space="preserve">Idealised memorising learner.</w:t>
      </w:r>
      <w:r>
        <w:t xml:space="preserve"> </w:t>
      </w:r>
      <w:r>
        <w:t xml:space="preserve">Suppose the learner knows</w:t>
      </w:r>
      <w:r>
        <w:t xml:space="preserve"> </w:t>
      </w:r>
      <m:oMath>
        <m:r>
          <m:t>f</m:t>
        </m:r>
      </m:oMath>
      <w:r>
        <w:t xml:space="preserve"> </w:t>
      </w:r>
      <w:r>
        <w:t xml:space="preserve">and estimates the offset of a seen group from its</w:t>
      </w:r>
      <w:r>
        <w:t xml:space="preserve"> </w:t>
      </w:r>
      <m:oMath>
        <m:r>
          <m:t>n</m:t>
        </m:r>
      </m:oMath>
      <w:r>
        <w:t xml:space="preserve"> </w:t>
      </w:r>
      <w:r>
        <w:t xml:space="preserve">training rows by the best linear unbiased predictor (BLUP), that is, by shrinking the mean training residual</w:t>
      </w:r>
      <w:r>
        <w:t xml:space="preserve"> </w:t>
      </w:r>
      <m:oMath>
        <m:sSub>
          <m:e>
            <m:acc>
              <m:accPr>
                <m:chr m:val="‾"/>
              </m:accPr>
              <m:e>
                <m:r>
                  <m:t>e</m:t>
                </m:r>
              </m:e>
            </m:acc>
          </m:e>
          <m:sub>
            <m:r>
              <m:t>i</m:t>
            </m:r>
          </m:sub>
        </m:sSub>
      </m:oMath>
      <w:r>
        <w:t xml:space="preserve"> </w:t>
      </w:r>
      <w:r>
        <w:t xml:space="preserve">towards zero [32, 33]:</w:t>
      </w:r>
    </w:p>
    <w:p>
      <w:pPr>
        <w:pStyle w:val="BodyText"/>
      </w:pPr>
      <m:oMathPara>
        <m:oMathParaPr>
          <m:jc m:val="center"/>
        </m:oMathParaPr>
        <m:oMath>
          <m:sSub>
            <m:e>
              <m:acc>
                <m:accPr>
                  <m:chr m:val="̂"/>
                </m:accPr>
                <m:e>
                  <m:r>
                    <m:t>u</m:t>
                  </m:r>
                </m:e>
              </m:acc>
            </m:e>
            <m:sub>
              <m:r>
                <m:t>i</m:t>
              </m:r>
            </m:sub>
          </m:sSub>
          <m:r>
            <m:rPr>
              <m:sty m:val="p"/>
            </m:rPr>
            <m:t>=</m:t>
          </m:r>
          <m:f>
            <m:fPr>
              <m:type m:val="bar"/>
            </m:fPr>
            <m:num>
              <m:r>
                <m:t>n</m:t>
              </m:r>
              <m:sSubSup>
                <m:e>
                  <m:r>
                    <m:t>σ</m:t>
                  </m:r>
                </m:e>
                <m:sub>
                  <m:r>
                    <m:t>u</m:t>
                  </m:r>
                </m:sub>
                <m:sup>
                  <m:r>
                    <m:t>2</m:t>
                  </m:r>
                </m:sup>
              </m:sSubSup>
            </m:num>
            <m:den>
              <m:r>
                <m:t>n</m:t>
              </m:r>
              <m:sSubSup>
                <m:e>
                  <m:r>
                    <m:t>σ</m:t>
                  </m:r>
                </m:e>
                <m:sub>
                  <m:r>
                    <m:t>u</m:t>
                  </m:r>
                </m:sub>
                <m:sup>
                  <m:r>
                    <m:t>2</m:t>
                  </m:r>
                </m:sup>
              </m:sSubSup>
              <m:r>
                <m:rPr>
                  <m:sty m:val="p"/>
                </m:rPr>
                <m:t>+</m:t>
              </m:r>
              <m:sSubSup>
                <m:e>
                  <m:r>
                    <m:t>σ</m:t>
                  </m:r>
                </m:e>
                <m:sub>
                  <m:r>
                    <m:t>ε</m:t>
                  </m:r>
                </m:sub>
                <m:sup>
                  <m:r>
                    <m:t>2</m:t>
                  </m:r>
                </m:sup>
              </m:sSubSup>
            </m:den>
          </m:f>
          <m:r>
            <m:t> </m:t>
          </m:r>
          <m:sSub>
            <m:e>
              <m:acc>
                <m:accPr>
                  <m:chr m:val="‾"/>
                </m:accPr>
                <m:e>
                  <m:r>
                    <m:t>e</m:t>
                  </m:r>
                </m:e>
              </m:acc>
            </m:e>
            <m:sub>
              <m:r>
                <m:t>i</m:t>
              </m:r>
            </m:sub>
          </m:sSub>
          <m:r>
            <m:rPr>
              <m:sty m:val="p"/>
            </m:rPr>
            <m:t>.</m:t>
          </m:r>
          <m:r>
            <m:t>  </m:t>
          </m:r>
          <m:r>
            <m:t>  </m:t>
          </m:r>
          <m:r>
            <m:rPr>
              <m:sty m:val="p"/>
            </m:rPr>
            <m:t>(</m:t>
          </m:r>
          <m:r>
            <m:t>4</m:t>
          </m:r>
          <m:r>
            <m:rPr>
              <m:sty m:val="p"/>
            </m:rPr>
            <m:t>)</m:t>
          </m:r>
        </m:oMath>
      </m:oMathPara>
    </w:p>
    <w:p>
      <w:pPr>
        <w:pStyle w:val="FirstParagraph"/>
      </w:pPr>
      <w:r>
        <w:t xml:space="preserve">The posterior variance of the offset given</w:t>
      </w:r>
      <w:r>
        <w:t xml:space="preserve"> </w:t>
      </w:r>
      <m:oMath>
        <m:r>
          <m:t>n</m:t>
        </m:r>
      </m:oMath>
      <w:r>
        <w:t xml:space="preserve"> </w:t>
      </w:r>
      <w:r>
        <w:t xml:space="preserve">rows is</w:t>
      </w:r>
    </w:p>
    <w:p>
      <w:pPr>
        <w:pStyle w:val="BodyText"/>
      </w:pPr>
      <m:oMathPara>
        <m:oMathParaPr>
          <m:jc m:val="center"/>
        </m:oMathParaPr>
        <m:oMath>
          <m:r>
            <m:t>V</m:t>
          </m:r>
          <m:r>
            <m:rPr>
              <m:sty m:val="p"/>
            </m:rPr>
            <m:t>(</m:t>
          </m:r>
          <m:r>
            <m:t>n</m:t>
          </m:r>
          <m:r>
            <m:rPr>
              <m:sty m:val="p"/>
            </m:rPr>
            <m:t>)</m:t>
          </m:r>
          <m:r>
            <m:rPr>
              <m:sty m:val="p"/>
            </m:rPr>
            <m:t>=</m:t>
          </m:r>
          <m:r>
            <m:rPr>
              <m:sty m:val="p"/>
            </m:rPr>
            <m:t>Var</m:t>
          </m:r>
          <m:r>
            <m:rPr>
              <m:sty m:val="p"/>
            </m:rPr>
            <m:t>(</m:t>
          </m:r>
          <m:sSub>
            <m:e>
              <m:r>
                <m:t>u</m:t>
              </m:r>
            </m:e>
            <m:sub>
              <m:r>
                <m:t>i</m:t>
              </m:r>
            </m:sub>
          </m:sSub>
          <m:r>
            <m:rPr>
              <m:sty m:val="p"/>
            </m:rPr>
            <m:t>−</m:t>
          </m:r>
          <m:sSub>
            <m:e>
              <m:acc>
                <m:accPr>
                  <m:chr m:val="̂"/>
                </m:accPr>
                <m:e>
                  <m:r>
                    <m:t>u</m:t>
                  </m:r>
                </m:e>
              </m:acc>
            </m:e>
            <m:sub>
              <m:r>
                <m:t>i</m:t>
              </m:r>
            </m:sub>
          </m:sSub>
          <m:r>
            <m:rPr>
              <m:sty m:val="p"/>
            </m:rPr>
            <m:t>)</m:t>
          </m:r>
          <m:r>
            <m:rPr>
              <m:sty m:val="p"/>
            </m:rPr>
            <m:t>=</m:t>
          </m:r>
          <m:sSup>
            <m:e>
              <m:d>
                <m:dPr>
                  <m:begChr m:val="("/>
                  <m:sepChr m:val=""/>
                  <m:endChr m:val=")"/>
                  <m:grow/>
                </m:dPr>
                <m:e>
                  <m:f>
                    <m:fPr>
                      <m:type m:val="bar"/>
                    </m:fPr>
                    <m:num>
                      <m:r>
                        <m:t>1</m:t>
                      </m:r>
                    </m:num>
                    <m:den>
                      <m:sSubSup>
                        <m:e>
                          <m:r>
                            <m:t>σ</m:t>
                          </m:r>
                        </m:e>
                        <m:sub>
                          <m:r>
                            <m:t>u</m:t>
                          </m:r>
                        </m:sub>
                        <m:sup>
                          <m:r>
                            <m:t>2</m:t>
                          </m:r>
                        </m:sup>
                      </m:sSubSup>
                    </m:den>
                  </m:f>
                  <m:r>
                    <m:rPr>
                      <m:sty m:val="p"/>
                    </m:rPr>
                    <m:t>+</m:t>
                  </m:r>
                  <m:f>
                    <m:fPr>
                      <m:type m:val="bar"/>
                    </m:fPr>
                    <m:num>
                      <m:r>
                        <m:t>n</m:t>
                      </m:r>
                    </m:num>
                    <m:den>
                      <m:sSubSup>
                        <m:e>
                          <m:r>
                            <m:t>σ</m:t>
                          </m:r>
                        </m:e>
                        <m:sub>
                          <m:r>
                            <m:t>ε</m:t>
                          </m:r>
                        </m:sub>
                        <m:sup>
                          <m:r>
                            <m:t>2</m:t>
                          </m:r>
                        </m:sup>
                      </m:sSubSup>
                    </m:den>
                  </m:f>
                </m:e>
              </m:d>
            </m:e>
            <m:sup>
              <m:r>
                <m:rPr>
                  <m:sty m:val="p"/>
                </m:rPr>
                <m:t>−</m:t>
              </m:r>
              <m:r>
                <m:t>1</m:t>
              </m:r>
            </m:sup>
          </m:sSup>
          <m:r>
            <m:rPr>
              <m:sty m:val="p"/>
            </m:rPr>
            <m:t>=</m:t>
          </m:r>
          <m:f>
            <m:fPr>
              <m:type m:val="bar"/>
            </m:fPr>
            <m:num>
              <m:sSubSup>
                <m:e>
                  <m:r>
                    <m:t>σ</m:t>
                  </m:r>
                </m:e>
                <m:sub>
                  <m:r>
                    <m:t>u</m:t>
                  </m:r>
                </m:sub>
                <m:sup>
                  <m:r>
                    <m:t>2</m:t>
                  </m:r>
                </m:sup>
              </m:sSubSup>
              <m:sSubSup>
                <m:e>
                  <m:r>
                    <m:t>σ</m:t>
                  </m:r>
                </m:e>
                <m:sub>
                  <m:r>
                    <m:t>ε</m:t>
                  </m:r>
                </m:sub>
                <m:sup>
                  <m:r>
                    <m:t>2</m:t>
                  </m:r>
                </m:sup>
              </m:sSubSup>
            </m:num>
            <m:den>
              <m:sSubSup>
                <m:e>
                  <m:r>
                    <m:t>σ</m:t>
                  </m:r>
                </m:e>
                <m:sub>
                  <m:r>
                    <m:t>ε</m:t>
                  </m:r>
                </m:sub>
                <m:sup>
                  <m:r>
                    <m:t>2</m:t>
                  </m:r>
                </m:sup>
              </m:sSubSup>
              <m:r>
                <m:rPr>
                  <m:sty m:val="p"/>
                </m:rPr>
                <m:t>+</m:t>
              </m:r>
              <m:r>
                <m:t>n</m:t>
              </m:r>
              <m:sSubSup>
                <m:e>
                  <m:r>
                    <m:t>σ</m:t>
                  </m:r>
                </m:e>
                <m:sub>
                  <m:r>
                    <m:t>u</m:t>
                  </m:r>
                </m:sub>
                <m:sup>
                  <m:r>
                    <m:t>2</m:t>
                  </m:r>
                </m:sup>
              </m:sSubSup>
            </m:den>
          </m:f>
          <m:r>
            <m:rPr>
              <m:sty m:val="p"/>
            </m:rPr>
            <m:t>.</m:t>
          </m:r>
          <m:r>
            <m:t>  </m:t>
          </m:r>
          <m:r>
            <m:t>  </m:t>
          </m:r>
          <m:r>
            <m:rPr>
              <m:sty m:val="p"/>
            </m:rPr>
            <m:t>(</m:t>
          </m:r>
          <m:r>
            <m:t>5</m:t>
          </m:r>
          <m:r>
            <m:rPr>
              <m:sty m:val="p"/>
            </m:rPr>
            <m:t>)</m:t>
          </m:r>
        </m:oMath>
      </m:oMathPara>
    </w:p>
    <w:p>
      <w:pPr>
        <w:pStyle w:val="FirstParagraph"/>
      </w:pPr>
      <w:r>
        <w:t xml:space="preserve">For a test row of a seen group, the prediction error is</w:t>
      </w:r>
      <w:r>
        <w:t xml:space="preserve"> </w:t>
      </w:r>
      <m:oMath>
        <m:sSub>
          <m:e>
            <m:r>
              <m:t>ε</m:t>
            </m:r>
          </m:e>
          <m:sub>
            <m:r>
              <m:t>i</m:t>
            </m:r>
            <m:r>
              <m:t>j</m:t>
            </m:r>
          </m:sub>
        </m:sSub>
        <m:r>
          <m:rPr>
            <m:sty m:val="p"/>
          </m:rPr>
          <m:t>+</m:t>
        </m:r>
        <m:r>
          <m:rPr>
            <m:sty m:val="p"/>
          </m:rPr>
          <m:t>(</m:t>
        </m:r>
        <m:sSub>
          <m:e>
            <m:r>
              <m:t>u</m:t>
            </m:r>
          </m:e>
          <m:sub>
            <m:r>
              <m:t>i</m:t>
            </m:r>
          </m:sub>
        </m:sSub>
        <m:r>
          <m:rPr>
            <m:sty m:val="p"/>
          </m:rPr>
          <m:t>−</m:t>
        </m:r>
        <m:sSub>
          <m:e>
            <m:acc>
              <m:accPr>
                <m:chr m:val="̂"/>
              </m:accPr>
              <m:e>
                <m:r>
                  <m:t>u</m:t>
                </m:r>
              </m:e>
            </m:acc>
          </m:e>
          <m:sub>
            <m:r>
              <m:t>i</m:t>
            </m:r>
          </m:sub>
        </m:sSub>
        <m:r>
          <m:rPr>
            <m:sty m:val="p"/>
          </m:rPr>
          <m:t>)</m:t>
        </m:r>
      </m:oMath>
      <w:r>
        <w:t xml:space="preserve"> </w:t>
      </w:r>
      <w:r>
        <w:t xml:space="preserve">and</w:t>
      </w:r>
      <w:r>
        <w:t xml:space="preserve"> </w:t>
      </w:r>
      <m:oMath>
        <m:sSub>
          <m:e>
            <m:r>
              <m:t>R</m:t>
            </m:r>
          </m:e>
          <m:sub>
            <m:r>
              <m:rPr>
                <m:sty m:val="p"/>
              </m:rPr>
              <m:t>r</m:t>
            </m:r>
            <m:r>
              <m:rPr>
                <m:sty m:val="p"/>
              </m:rPr>
              <m:t>a</m:t>
            </m:r>
            <m:r>
              <m:rPr>
                <m:sty m:val="p"/>
              </m:rPr>
              <m:t>n</m:t>
            </m:r>
            <m:r>
              <m:rPr>
                <m:sty m:val="p"/>
              </m:rPr>
              <m:t>d</m:t>
            </m:r>
          </m:sub>
        </m:sSub>
        <m:r>
          <m:rPr>
            <m:sty m:val="p"/>
          </m:rPr>
          <m:t>=</m:t>
        </m:r>
        <m:sSubSup>
          <m:e>
            <m:r>
              <m:t>σ</m:t>
            </m:r>
          </m:e>
          <m:sub>
            <m:r>
              <m:t>ε</m:t>
            </m:r>
          </m:sub>
          <m:sup>
            <m:r>
              <m:t>2</m:t>
            </m:r>
          </m:sup>
        </m:sSubSup>
        <m:r>
          <m:rPr>
            <m:sty m:val="p"/>
          </m:rPr>
          <m:t>+</m:t>
        </m:r>
        <m:r>
          <m:t>V</m:t>
        </m:r>
        <m:r>
          <m:rPr>
            <m:sty m:val="p"/>
          </m:rPr>
          <m:t>(</m:t>
        </m:r>
        <m:r>
          <m:t>n</m:t>
        </m:r>
        <m:r>
          <m:rPr>
            <m:sty m:val="p"/>
          </m:rPr>
          <m:t>)</m:t>
        </m:r>
      </m:oMath>
      <w:r>
        <w:t xml:space="preserve">. For a test row of an unseen group the best prediction is</w:t>
      </w:r>
      <w:r>
        <w:t xml:space="preserve"> </w:t>
      </w:r>
      <m:oMath>
        <m:r>
          <m:t>f</m:t>
        </m:r>
        <m:r>
          <m:rPr>
            <m:sty m:val="p"/>
          </m:rPr>
          <m:t>(</m:t>
        </m:r>
        <m:r>
          <m:t>x</m:t>
        </m:r>
        <m:r>
          <m:rPr>
            <m:sty m:val="p"/>
          </m:rPr>
          <m:t>)</m:t>
        </m:r>
      </m:oMath>
      <w:r>
        <w:t xml:space="preserve">, whose error is</w:t>
      </w:r>
      <w:r>
        <w:t xml:space="preserve"> </w:t>
      </w:r>
      <m:oMath>
        <m:sSub>
          <m:e>
            <m:r>
              <m:t>u</m:t>
            </m:r>
          </m:e>
          <m:sub>
            <m:r>
              <m:t>i</m:t>
            </m:r>
          </m:sub>
        </m:sSub>
        <m:r>
          <m:rPr>
            <m:sty m:val="p"/>
          </m:rPr>
          <m:t>+</m:t>
        </m:r>
        <m:sSub>
          <m:e>
            <m:r>
              <m:t>ε</m:t>
            </m:r>
          </m:e>
          <m:sub>
            <m:r>
              <m:t>i</m:t>
            </m:r>
            <m:r>
              <m:t>j</m:t>
            </m:r>
          </m:sub>
        </m:sSub>
      </m:oMath>
      <w:r>
        <w:t xml:space="preserve">, so</w:t>
      </w:r>
      <w:r>
        <w:t xml:space="preserve"> </w:t>
      </w:r>
      <m:oMath>
        <m:sSub>
          <m:e>
            <m:r>
              <m:t>R</m:t>
            </m:r>
          </m:e>
          <m:sub>
            <m:r>
              <m:rPr>
                <m:sty m:val="p"/>
              </m:rPr>
              <m:t>g</m:t>
            </m:r>
            <m:r>
              <m:rPr>
                <m:sty m:val="p"/>
              </m:rPr>
              <m:t>r</m:t>
            </m:r>
            <m:r>
              <m:rPr>
                <m:sty m:val="p"/>
              </m:rPr>
              <m:t>p</m:t>
            </m:r>
          </m:sub>
        </m:sSub>
        <m:r>
          <m:rPr>
            <m:sty m:val="p"/>
          </m:rPr>
          <m:t>=</m:t>
        </m:r>
        <m:sSup>
          <m:e>
            <m:r>
              <m:t>σ</m:t>
            </m:r>
          </m:e>
          <m:sup>
            <m:r>
              <m:t>2</m:t>
            </m:r>
          </m:sup>
        </m:sSup>
      </m:oMath>
      <w:r>
        <w:t xml:space="preserve">. Normalising</w:t>
      </w:r>
      <w:r>
        <w:t xml:space="preserve"> </w:t>
      </w:r>
      <m:oMath>
        <m:sSup>
          <m:e>
            <m:r>
              <m:t>σ</m:t>
            </m:r>
          </m:e>
          <m:sup>
            <m:r>
              <m:t>2</m:t>
            </m:r>
          </m:sup>
        </m:sSup>
        <m:r>
          <m:rPr>
            <m:sty m:val="p"/>
          </m:rPr>
          <m:t>=</m:t>
        </m:r>
        <m:r>
          <m:t>1</m:t>
        </m:r>
      </m:oMath>
      <w:r>
        <w:t xml:space="preserve"> </w:t>
      </w:r>
      <w:r>
        <w:t xml:space="preserve">so that</w:t>
      </w:r>
      <w:r>
        <w:t xml:space="preserve"> </w:t>
      </w:r>
      <m:oMath>
        <m:sSubSup>
          <m:e>
            <m:r>
              <m:t>σ</m:t>
            </m:r>
          </m:e>
          <m:sub>
            <m:r>
              <m:t>u</m:t>
            </m:r>
          </m:sub>
          <m:sup>
            <m:r>
              <m:t>2</m:t>
            </m:r>
          </m:sup>
        </m:sSubSup>
        <m:r>
          <m:rPr>
            <m:sty m:val="p"/>
          </m:rPr>
          <m:t>=</m:t>
        </m:r>
        <m:r>
          <m:t>r</m:t>
        </m:r>
      </m:oMath>
      <w:r>
        <w:t xml:space="preserve"> </w:t>
      </w:r>
      <w:r>
        <w:t xml:space="preserve">and</w:t>
      </w:r>
      <w:r>
        <w:t xml:space="preserve"> </w:t>
      </w:r>
      <m:oMath>
        <m:sSubSup>
          <m:e>
            <m:r>
              <m:t>σ</m:t>
            </m:r>
          </m:e>
          <m:sub>
            <m:r>
              <m:t>ε</m:t>
            </m:r>
          </m:sub>
          <m:sup>
            <m:r>
              <m:t>2</m:t>
            </m:r>
          </m:sup>
        </m:sSubSup>
        <m:r>
          <m:rPr>
            <m:sty m:val="p"/>
          </m:rPr>
          <m:t>=</m:t>
        </m:r>
        <m:r>
          <m:t>1</m:t>
        </m:r>
        <m:r>
          <m:rPr>
            <m:sty m:val="p"/>
          </m:rPr>
          <m:t>−</m:t>
        </m:r>
        <m:r>
          <m:t>r</m:t>
        </m:r>
      </m:oMath>
      <w:r>
        <w:t xml:space="preserve">,</w:t>
      </w:r>
    </w:p>
    <w:p>
      <w:pPr>
        <w:pStyle w:val="BodyText"/>
      </w:pPr>
      <m:oMathPara>
        <m:oMathParaPr>
          <m:jc m:val="center"/>
        </m:oMathParaPr>
        <m:oMath>
          <m:sSup>
            <m:e>
              <m:r>
                <m:t>ρ</m:t>
              </m:r>
            </m:e>
            <m:sup>
              <m:r>
                <m:t>2</m:t>
              </m:r>
            </m:sup>
          </m:sSup>
          <m:r>
            <m:rPr>
              <m:sty m:val="p"/>
            </m:rPr>
            <m:t>=</m:t>
          </m:r>
          <m:f>
            <m:fPr>
              <m:type m:val="bar"/>
            </m:fPr>
            <m:num>
              <m:r>
                <m:t>1</m:t>
              </m:r>
            </m:num>
            <m:den>
              <m:r>
                <m:rPr>
                  <m:sty m:val="p"/>
                </m:rPr>
                <m:t>(</m:t>
              </m:r>
              <m:r>
                <m:t>1</m:t>
              </m:r>
              <m:r>
                <m:rPr>
                  <m:sty m:val="p"/>
                </m:rPr>
                <m:t>−</m:t>
              </m:r>
              <m:r>
                <m:t>r</m:t>
              </m:r>
              <m:r>
                <m:rPr>
                  <m:sty m:val="p"/>
                </m:rPr>
                <m:t>)</m:t>
              </m:r>
              <m:r>
                <m:rPr>
                  <m:sty m:val="p"/>
                </m:rPr>
                <m:t>+</m:t>
              </m:r>
              <m:r>
                <m:t>V</m:t>
              </m:r>
              <m:r>
                <m:rPr>
                  <m:sty m:val="p"/>
                </m:rPr>
                <m:t>(</m:t>
              </m:r>
              <m:r>
                <m:t>n</m:t>
              </m:r>
              <m:r>
                <m:rPr>
                  <m:sty m:val="p"/>
                </m:rPr>
                <m:t>)</m:t>
              </m:r>
            </m:den>
          </m:f>
          <m:r>
            <m:rPr>
              <m:sty m:val="p"/>
            </m:rPr>
            <m:t>,</m:t>
          </m:r>
          <m:r>
            <m:t>  </m:t>
          </m:r>
          <m:r>
            <m:t>V</m:t>
          </m:r>
          <m:r>
            <m:rPr>
              <m:sty m:val="p"/>
            </m:rPr>
            <m:t>(</m:t>
          </m:r>
          <m:r>
            <m:t>n</m:t>
          </m:r>
          <m:r>
            <m:rPr>
              <m:sty m:val="p"/>
            </m:rPr>
            <m:t>)</m:t>
          </m:r>
          <m:r>
            <m:rPr>
              <m:sty m:val="p"/>
            </m:rPr>
            <m:t>=</m:t>
          </m:r>
          <m:f>
            <m:fPr>
              <m:type m:val="bar"/>
            </m:fPr>
            <m:num>
              <m:r>
                <m:t>r</m:t>
              </m:r>
              <m:r>
                <m:rPr>
                  <m:sty m:val="p"/>
                </m:rPr>
                <m:t>(</m:t>
              </m:r>
              <m:r>
                <m:t>1</m:t>
              </m:r>
              <m:r>
                <m:rPr>
                  <m:sty m:val="p"/>
                </m:rPr>
                <m:t>−</m:t>
              </m:r>
              <m:r>
                <m:t>r</m:t>
              </m:r>
              <m:r>
                <m:rPr>
                  <m:sty m:val="p"/>
                </m:rPr>
                <m:t>)</m:t>
              </m:r>
            </m:num>
            <m:den>
              <m:r>
                <m:rPr>
                  <m:sty m:val="p"/>
                </m:rPr>
                <m:t>(</m:t>
              </m:r>
              <m:r>
                <m:t>1</m:t>
              </m:r>
              <m:r>
                <m:rPr>
                  <m:sty m:val="p"/>
                </m:rPr>
                <m:t>−</m:t>
              </m:r>
              <m:r>
                <m:t>r</m:t>
              </m:r>
              <m:r>
                <m:rPr>
                  <m:sty m:val="p"/>
                </m:rPr>
                <m:t>)</m:t>
              </m:r>
              <m:r>
                <m:rPr>
                  <m:sty m:val="p"/>
                </m:rPr>
                <m:t>+</m:t>
              </m:r>
              <m:r>
                <m:t>n</m:t>
              </m:r>
              <m:r>
                <m:t>r</m:t>
              </m:r>
            </m:den>
          </m:f>
          <m:r>
            <m:rPr>
              <m:sty m:val="p"/>
            </m:rPr>
            <m:t>.</m:t>
          </m:r>
          <m:r>
            <m:t>  </m:t>
          </m:r>
          <m:r>
            <m:t>  </m:t>
          </m:r>
          <m:r>
            <m:rPr>
              <m:sty m:val="p"/>
            </m:rPr>
            <m:t>(</m:t>
          </m:r>
          <m:r>
            <m:t>6</m:t>
          </m:r>
          <m:r>
            <m:rPr>
              <m:sty m:val="p"/>
            </m:rPr>
            <m:t>)</m:t>
          </m:r>
        </m:oMath>
      </m:oMathPara>
    </w:p>
    <w:p>
      <w:pPr>
        <w:pStyle w:val="FirstParagraph"/>
      </w:pPr>
      <w:r>
        <w:t xml:space="preserve">Two limits are informative. When groups are tiny (</w:t>
      </w:r>
      <m:oMath>
        <m:r>
          <m:t>n</m:t>
        </m:r>
        <m:r>
          <m:rPr>
            <m:sty m:val="p"/>
          </m:rPr>
          <m:t>→</m:t>
        </m:r>
        <m:r>
          <m:t>0</m:t>
        </m:r>
      </m:oMath>
      <w:r>
        <w:t xml:space="preserve">),</w:t>
      </w:r>
      <w:r>
        <w:t xml:space="preserve"> </w:t>
      </w:r>
      <m:oMath>
        <m:r>
          <m:t>V</m:t>
        </m:r>
        <m:r>
          <m:rPr>
            <m:sty m:val="p"/>
          </m:rPr>
          <m:t>→</m:t>
        </m:r>
        <m:r>
          <m:t>r</m:t>
        </m:r>
      </m:oMath>
      <w:r>
        <w:t xml:space="preserve"> </w:t>
      </w:r>
      <w:r>
        <w:t xml:space="preserve">and</w:t>
      </w:r>
      <w:r>
        <w:t xml:space="preserve"> </w:t>
      </w:r>
      <m:oMath>
        <m:r>
          <m:t>ρ</m:t>
        </m:r>
        <m:r>
          <m:rPr>
            <m:sty m:val="p"/>
          </m:rPr>
          <m:t>→</m:t>
        </m:r>
        <m:r>
          <m:t>1</m:t>
        </m:r>
      </m:oMath>
      <w:r>
        <w:t xml:space="preserve">: nothing can be memorised. When groups are large (</w:t>
      </w:r>
      <m:oMath>
        <m:r>
          <m:t>n</m:t>
        </m:r>
        <m:r>
          <m:rPr>
            <m:sty m:val="p"/>
          </m:rPr>
          <m:t>→</m:t>
        </m:r>
        <m:r>
          <m:rPr>
            <m:sty m:val="p"/>
          </m:rPr>
          <m:t>∞</m:t>
        </m:r>
      </m:oMath>
      <w:r>
        <w:t xml:space="preserve">),</w:t>
      </w:r>
      <w:r>
        <w:t xml:space="preserve"> </w:t>
      </w:r>
      <m:oMath>
        <m:r>
          <m:t>V</m:t>
        </m:r>
        <m:r>
          <m:rPr>
            <m:sty m:val="p"/>
          </m:rPr>
          <m:t>→</m:t>
        </m:r>
        <m:r>
          <m:t>0</m:t>
        </m:r>
      </m:oMath>
      <w:r>
        <w:t xml:space="preserve"> </w:t>
      </w:r>
      <w:r>
        <w:t xml:space="preserve">and</w:t>
      </w:r>
    </w:p>
    <w:p>
      <w:pPr>
        <w:pStyle w:val="BodyText"/>
      </w:pPr>
      <m:oMathPara>
        <m:oMathParaPr>
          <m:jc m:val="center"/>
        </m:oMathParaPr>
        <m:oMath>
          <m:sSub>
            <m:e>
              <m:r>
                <m:t>ρ</m:t>
              </m:r>
            </m:e>
            <m:sub>
              <m:r>
                <m:rPr>
                  <m:sty m:val="p"/>
                </m:rPr>
                <m:t>max</m:t>
              </m:r>
            </m:sub>
          </m:sSub>
          <m:r>
            <m:rPr>
              <m:sty m:val="p"/>
            </m:rPr>
            <m:t>=</m:t>
          </m:r>
          <m:f>
            <m:fPr>
              <m:type m:val="bar"/>
            </m:fPr>
            <m:num>
              <m:r>
                <m:t>1</m:t>
              </m:r>
            </m:num>
            <m:den>
              <m:rad>
                <m:radPr>
                  <m:degHide m:val="on"/>
                </m:radPr>
                <m:deg/>
                <m:e>
                  <m:r>
                    <m:t>1</m:t>
                  </m:r>
                  <m:r>
                    <m:rPr>
                      <m:sty m:val="p"/>
                    </m:rPr>
                    <m:t>−</m:t>
                  </m:r>
                  <m:r>
                    <m:t>r</m:t>
                  </m:r>
                </m:e>
              </m:rad>
            </m:den>
          </m:f>
          <m:r>
            <m:rPr>
              <m:sty m:val="p"/>
            </m:rPr>
            <m:t>.</m:t>
          </m:r>
          <m:r>
            <m:t>  </m:t>
          </m:r>
          <m:r>
            <m:t>  </m:t>
          </m:r>
          <m:r>
            <m:rPr>
              <m:sty m:val="p"/>
            </m:rPr>
            <m:t>(</m:t>
          </m:r>
          <m:r>
            <m:t>7</m:t>
          </m:r>
          <m:r>
            <m:rPr>
              <m:sty m:val="p"/>
            </m:rPr>
            <m:t>)</m:t>
          </m:r>
        </m:oMath>
      </m:oMathPara>
    </w:p>
    <w:p>
      <w:pPr>
        <w:pStyle w:val="FirstParagraph"/>
      </w:pPr>
      <w:r>
        <w:t xml:space="preserve">The inflation ratio therefore cannot exceed</w:t>
      </w:r>
      <w:r>
        <w:t xml:space="preserve"> </w:t>
      </w:r>
      <m:oMath>
        <m:r>
          <m:t>1</m:t>
        </m:r>
        <m:r>
          <m:rPr>
            <m:sty m:val="p"/>
          </m:rPr>
          <m:t>/</m:t>
        </m:r>
        <m:rad>
          <m:radPr>
            <m:degHide m:val="on"/>
          </m:radPr>
          <m:deg/>
          <m:e>
            <m:r>
              <m:t>1</m:t>
            </m:r>
            <m:r>
              <m:rPr>
                <m:sty m:val="p"/>
              </m:rPr>
              <m:t>−</m:t>
            </m:r>
            <m:r>
              <m:t>r</m:t>
            </m:r>
          </m:e>
        </m:rad>
      </m:oMath>
      <w:r>
        <w:t xml:space="preserve"> </w:t>
      </w:r>
      <w:r>
        <w:t xml:space="preserve">for this learner, and it is attained when the group offset is learnt exactly. An ICC of 0.5 gives</w:t>
      </w:r>
      <w:r>
        <w:t xml:space="preserve"> </w:t>
      </w:r>
      <m:oMath>
        <m:sSub>
          <m:e>
            <m:r>
              <m:t>ρ</m:t>
            </m:r>
          </m:e>
          <m:sub>
            <m:r>
              <m:rPr>
                <m:sty m:val="p"/>
              </m:rPr>
              <m:t>max</m:t>
            </m:r>
          </m:sub>
        </m:sSub>
        <m:r>
          <m:rPr>
            <m:sty m:val="p"/>
          </m:rPr>
          <m:t>≈</m:t>
        </m:r>
        <m:r>
          <m:t>1.41</m:t>
        </m:r>
      </m:oMath>
      <w:r>
        <w:t xml:space="preserve">, 0.9 gives 3.2 and 0.99 gives 10. A near-order-of-magnitude inflation requires that almost all residual variance is a group offset, which is the situation in strongly clustered designs such as ENB2012, where the 64 rows of a geometry differ only through orientation and glazing and the geometry determines most of the load.</w:t>
      </w:r>
    </w:p>
    <w:p>
      <w:pPr>
        <w:pStyle w:val="BodyText"/>
      </w:pPr>
      <w:r>
        <w:rPr>
          <w:b/>
          <w:bCs/>
        </w:rPr>
        <w:t xml:space="preserve">Learners of limited capacity.</w:t>
      </w:r>
      <w:r>
        <w:t xml:space="preserve"> </w:t>
      </w:r>
      <w:r>
        <w:t xml:space="preserve">Real learners do not recover the offset perfectly. Let a learner predict</w:t>
      </w:r>
      <w:r>
        <w:t xml:space="preserve"> </w:t>
      </w:r>
      <m:oMath>
        <m:r>
          <m:t>f</m:t>
        </m:r>
        <m:r>
          <m:rPr>
            <m:sty m:val="p"/>
          </m:rPr>
          <m:t>(</m:t>
        </m:r>
        <m:r>
          <m:t>x</m:t>
        </m:r>
        <m:r>
          <m:rPr>
            <m:sty m:val="p"/>
          </m:rPr>
          <m:t>)</m:t>
        </m:r>
        <m:r>
          <m:rPr>
            <m:sty m:val="p"/>
          </m:rPr>
          <m:t>+</m:t>
        </m:r>
        <m:r>
          <m:t>κ</m:t>
        </m:r>
        <m:sSub>
          <m:e>
            <m:acc>
              <m:accPr>
                <m:chr m:val="̂"/>
              </m:accPr>
              <m:e>
                <m:r>
                  <m:t>u</m:t>
                </m:r>
              </m:e>
            </m:acc>
          </m:e>
          <m:sub>
            <m:r>
              <m:t>i</m:t>
            </m:r>
          </m:sub>
        </m:sSub>
      </m:oMath>
      <w:r>
        <w:t xml:space="preserve"> </w:t>
      </w:r>
      <w:r>
        <w:t xml:space="preserve">for a seen group, where</w:t>
      </w:r>
      <w:r>
        <w:t xml:space="preserve"> </w:t>
      </w:r>
      <m:oMath>
        <m:r>
          <m:t>κ</m:t>
        </m:r>
        <m:r>
          <m:rPr>
            <m:sty m:val="p"/>
          </m:rPr>
          <m:t>∈</m:t>
        </m:r>
        <m:r>
          <m:rPr>
            <m:sty m:val="p"/>
          </m:rPr>
          <m:t>[</m:t>
        </m:r>
        <m:r>
          <m:t>0</m:t>
        </m:r>
        <m:r>
          <m:rPr>
            <m:sty m:val="p"/>
          </m:rPr>
          <m:t>,</m:t>
        </m:r>
        <m:r>
          <m:t>1</m:t>
        </m:r>
        <m:r>
          <m:rPr>
            <m:sty m:val="p"/>
          </m:rPr>
          <m:t>]</m:t>
        </m:r>
      </m:oMath>
      <w:r>
        <w:t xml:space="preserve"> </w:t>
      </w:r>
      <w:r>
        <w:t xml:space="preserve">measures how much of the BLUP it captures;</w:t>
      </w:r>
      <w:r>
        <w:t xml:space="preserve"> </w:t>
      </w:r>
      <m:oMath>
        <m:r>
          <m:t>κ</m:t>
        </m:r>
        <m:r>
          <m:rPr>
            <m:sty m:val="p"/>
          </m:rPr>
          <m:t>=</m:t>
        </m:r>
        <m:r>
          <m:t>0</m:t>
        </m:r>
      </m:oMath>
      <w:r>
        <w:t xml:space="preserve"> </w:t>
      </w:r>
      <w:r>
        <w:t xml:space="preserve">is a model that cannot isolate groups (for example a low-order linear model) and</w:t>
      </w:r>
      <w:r>
        <w:t xml:space="preserve"> </w:t>
      </w:r>
      <m:oMath>
        <m:r>
          <m:t>κ</m:t>
        </m:r>
        <m:r>
          <m:rPr>
            <m:sty m:val="p"/>
          </m:rPr>
          <m:t>=</m:t>
        </m:r>
        <m:r>
          <m:t>1</m:t>
        </m:r>
      </m:oMath>
      <w:r>
        <w:t xml:space="preserve"> </w:t>
      </w:r>
      <w:r>
        <w:t xml:space="preserve">is the idealised learner above. Because</w:t>
      </w:r>
      <w:r>
        <w:t xml:space="preserve"> </w:t>
      </w:r>
      <m:oMath>
        <m:sSub>
          <m:e>
            <m:r>
              <m:t>u</m:t>
            </m:r>
          </m:e>
          <m:sub>
            <m:r>
              <m:t>i</m:t>
            </m:r>
          </m:sub>
        </m:sSub>
        <m:r>
          <m:rPr>
            <m:sty m:val="p"/>
          </m:rPr>
          <m:t>−</m:t>
        </m:r>
        <m:sSub>
          <m:e>
            <m:acc>
              <m:accPr>
                <m:chr m:val="̂"/>
              </m:accPr>
              <m:e>
                <m:r>
                  <m:t>u</m:t>
                </m:r>
              </m:e>
            </m:acc>
          </m:e>
          <m:sub>
            <m:r>
              <m:t>i</m:t>
            </m:r>
          </m:sub>
        </m:sSub>
      </m:oMath>
      <w:r>
        <w:t xml:space="preserve"> </w:t>
      </w:r>
      <w:r>
        <w:t xml:space="preserve">is uncorrelated with</w:t>
      </w:r>
      <w:r>
        <w:t xml:space="preserve"> </w:t>
      </w:r>
      <m:oMath>
        <m:sSub>
          <m:e>
            <m:acc>
              <m:accPr>
                <m:chr m:val="̂"/>
              </m:accPr>
              <m:e>
                <m:r>
                  <m:t>u</m:t>
                </m:r>
              </m:e>
            </m:acc>
          </m:e>
          <m:sub>
            <m:r>
              <m:t>i</m:t>
            </m:r>
          </m:sub>
        </m:sSub>
      </m:oMath>
      <w:r>
        <w:t xml:space="preserve"> </w:t>
      </w:r>
      <w:r>
        <w:t xml:space="preserve">and</w:t>
      </w:r>
      <w:r>
        <w:t xml:space="preserve"> </w:t>
      </w:r>
      <m:oMath>
        <m:r>
          <m:rPr>
            <m:sty m:val="p"/>
          </m:rPr>
          <m:t>Var</m:t>
        </m:r>
        <m:r>
          <m:rPr>
            <m:sty m:val="p"/>
          </m:rPr>
          <m:t>(</m:t>
        </m:r>
        <m:sSub>
          <m:e>
            <m:acc>
              <m:accPr>
                <m:chr m:val="̂"/>
              </m:accPr>
              <m:e>
                <m:r>
                  <m:t>u</m:t>
                </m:r>
              </m:e>
            </m:acc>
          </m:e>
          <m:sub>
            <m:r>
              <m:t>i</m:t>
            </m:r>
          </m:sub>
        </m:sSub>
        <m:r>
          <m:rPr>
            <m:sty m:val="p"/>
          </m:rPr>
          <m:t>)</m:t>
        </m:r>
        <m:r>
          <m:rPr>
            <m:sty m:val="p"/>
          </m:rPr>
          <m:t>=</m:t>
        </m:r>
        <m:sSubSup>
          <m:e>
            <m:r>
              <m:t>σ</m:t>
            </m:r>
          </m:e>
          <m:sub>
            <m:r>
              <m:t>u</m:t>
            </m:r>
          </m:sub>
          <m:sup>
            <m:r>
              <m:t>2</m:t>
            </m:r>
          </m:sup>
        </m:sSubSup>
        <m:r>
          <m:rPr>
            <m:sty m:val="p"/>
          </m:rPr>
          <m:t>−</m:t>
        </m:r>
        <m:r>
          <m:t>V</m:t>
        </m:r>
        <m:r>
          <m:rPr>
            <m:sty m:val="p"/>
          </m:rPr>
          <m:t>(</m:t>
        </m:r>
        <m:r>
          <m:t>n</m:t>
        </m:r>
        <m:r>
          <m:rPr>
            <m:sty m:val="p"/>
          </m:rPr>
          <m:t>)</m:t>
        </m:r>
      </m:oMath>
      <w:r>
        <w:t xml:space="preserve">,</w:t>
      </w:r>
    </w:p>
    <w:p>
      <w:pPr>
        <w:pStyle w:val="BodyText"/>
      </w:pPr>
      <m:oMathPara>
        <m:oMathParaPr>
          <m:jc m:val="center"/>
        </m:oMathParaPr>
        <m:oMath>
          <m:sSub>
            <m:e>
              <m:r>
                <m:t>R</m:t>
              </m:r>
            </m:e>
            <m:sub>
              <m:r>
                <m:rPr>
                  <m:sty m:val="p"/>
                </m:rPr>
                <m:t>r</m:t>
              </m:r>
              <m:r>
                <m:rPr>
                  <m:sty m:val="p"/>
                </m:rPr>
                <m:t>a</m:t>
              </m:r>
              <m:r>
                <m:rPr>
                  <m:sty m:val="p"/>
                </m:rPr>
                <m:t>n</m:t>
              </m:r>
              <m:r>
                <m:rPr>
                  <m:sty m:val="p"/>
                </m:rPr>
                <m:t>d</m:t>
              </m:r>
            </m:sub>
          </m:sSub>
          <m:r>
            <m:rPr>
              <m:sty m:val="p"/>
            </m:rPr>
            <m:t>(</m:t>
          </m:r>
          <m:r>
            <m:t>κ</m:t>
          </m:r>
          <m:r>
            <m:rPr>
              <m:sty m:val="p"/>
            </m:rPr>
            <m:t>)</m:t>
          </m:r>
          <m:r>
            <m:rPr>
              <m:sty m:val="p"/>
            </m:rPr>
            <m:t>=</m:t>
          </m:r>
          <m:sSubSup>
            <m:e>
              <m:r>
                <m:t>σ</m:t>
              </m:r>
            </m:e>
            <m:sub>
              <m:r>
                <m:t>ε</m:t>
              </m:r>
            </m:sub>
            <m:sup>
              <m:r>
                <m:t>2</m:t>
              </m:r>
            </m:sup>
          </m:sSubSup>
          <m:r>
            <m:rPr>
              <m:sty m:val="p"/>
            </m:rPr>
            <m:t>+</m:t>
          </m:r>
          <m:r>
            <m:t>V</m:t>
          </m:r>
          <m:r>
            <m:rPr>
              <m:sty m:val="p"/>
            </m:rPr>
            <m:t>(</m:t>
          </m:r>
          <m:r>
            <m:t>n</m:t>
          </m:r>
          <m:r>
            <m:rPr>
              <m:sty m:val="p"/>
            </m:rPr>
            <m:t>)</m:t>
          </m:r>
          <m:r>
            <m:rPr>
              <m:sty m:val="p"/>
            </m:rPr>
            <m:t>+</m:t>
          </m:r>
          <m:r>
            <m:rPr>
              <m:sty m:val="p"/>
            </m:rPr>
            <m:t>(</m:t>
          </m:r>
          <m:r>
            <m:t>1</m:t>
          </m:r>
          <m:r>
            <m:rPr>
              <m:sty m:val="p"/>
            </m:rPr>
            <m:t>−</m:t>
          </m:r>
          <m:r>
            <m:t>κ</m:t>
          </m:r>
          <m:sSup>
            <m:e>
              <m:r>
                <m:rPr>
                  <m:sty m:val="p"/>
                </m:rPr>
                <m:t>)</m:t>
              </m:r>
            </m:e>
            <m:sup>
              <m:r>
                <m:t>2</m:t>
              </m:r>
            </m:sup>
          </m:sSup>
          <m:d>
            <m:dPr>
              <m:begChr m:val="("/>
              <m:sepChr m:val=""/>
              <m:endChr m:val=")"/>
              <m:grow/>
            </m:dPr>
            <m:e>
              <m:sSubSup>
                <m:e>
                  <m:r>
                    <m:t>σ</m:t>
                  </m:r>
                </m:e>
                <m:sub>
                  <m:r>
                    <m:t>u</m:t>
                  </m:r>
                </m:sub>
                <m:sup>
                  <m:r>
                    <m:t>2</m:t>
                  </m:r>
                </m:sup>
              </m:sSubSup>
              <m:r>
                <m:rPr>
                  <m:sty m:val="p"/>
                </m:rPr>
                <m:t>−</m:t>
              </m:r>
              <m:r>
                <m:t>V</m:t>
              </m:r>
              <m:r>
                <m:rPr>
                  <m:sty m:val="p"/>
                </m:rPr>
                <m:t>(</m:t>
              </m:r>
              <m:r>
                <m:t>n</m:t>
              </m:r>
              <m:r>
                <m:rPr>
                  <m:sty m:val="p"/>
                </m:rPr>
                <m:t>)</m:t>
              </m:r>
            </m:e>
          </m:d>
          <m:r>
            <m:rPr>
              <m:sty m:val="p"/>
            </m:rPr>
            <m:t>,</m:t>
          </m:r>
          <m:r>
            <m:t>  </m:t>
          </m:r>
          <m:r>
            <m:t>  </m:t>
          </m:r>
          <m:r>
            <m:rPr>
              <m:sty m:val="p"/>
            </m:rPr>
            <m:t>(</m:t>
          </m:r>
          <m:r>
            <m:t>8</m:t>
          </m:r>
          <m:r>
            <m:rPr>
              <m:sty m:val="p"/>
            </m:rPr>
            <m:t>)</m:t>
          </m:r>
        </m:oMath>
      </m:oMathPara>
    </w:p>
    <w:p>
      <w:pPr>
        <w:pStyle w:val="FirstParagraph"/>
      </w:pPr>
      <w:r>
        <w:t xml:space="preserve">and</w:t>
      </w:r>
      <w:r>
        <w:t xml:space="preserve"> </w:t>
      </w:r>
      <m:oMath>
        <m:sSub>
          <m:e>
            <m:r>
              <m:t>R</m:t>
            </m:r>
          </m:e>
          <m:sub>
            <m:r>
              <m:rPr>
                <m:sty m:val="p"/>
              </m:rPr>
              <m:t>g</m:t>
            </m:r>
            <m:r>
              <m:rPr>
                <m:sty m:val="p"/>
              </m:rPr>
              <m:t>r</m:t>
            </m:r>
            <m:r>
              <m:rPr>
                <m:sty m:val="p"/>
              </m:rPr>
              <m:t>p</m:t>
            </m:r>
          </m:sub>
        </m:sSub>
        <m:r>
          <m:rPr>
            <m:sty m:val="p"/>
          </m:rPr>
          <m:t>=</m:t>
        </m:r>
        <m:sSup>
          <m:e>
            <m:r>
              <m:t>σ</m:t>
            </m:r>
          </m:e>
          <m:sup>
            <m:r>
              <m:t>2</m:t>
            </m:r>
          </m:sup>
        </m:sSup>
      </m:oMath>
      <w:r>
        <w:t xml:space="preserve"> </w:t>
      </w:r>
      <w:r>
        <w:t xml:space="preserve">is unchanged, since a new group offers nothing to memorise. The corresponding inflation is</w:t>
      </w:r>
      <w:r>
        <w:t xml:space="preserve"> </w:t>
      </w:r>
      <m:oMath>
        <m:sSup>
          <m:e>
            <m:r>
              <m:t>ρ</m:t>
            </m:r>
          </m:e>
          <m:sup>
            <m:r>
              <m:t>2</m:t>
            </m:r>
          </m:sup>
        </m:sSup>
        <m:r>
          <m:rPr>
            <m:sty m:val="p"/>
          </m:rPr>
          <m:t>(</m:t>
        </m:r>
        <m:r>
          <m:t>κ</m:t>
        </m:r>
        <m:r>
          <m:rPr>
            <m:sty m:val="p"/>
          </m:rPr>
          <m:t>)</m:t>
        </m:r>
        <m:r>
          <m:rPr>
            <m:sty m:val="p"/>
          </m:rPr>
          <m:t>=</m:t>
        </m:r>
        <m:sSup>
          <m:e>
            <m:r>
              <m:t>σ</m:t>
            </m:r>
          </m:e>
          <m:sup>
            <m:r>
              <m:t>2</m:t>
            </m:r>
          </m:sup>
        </m:sSup>
        <m:r>
          <m:rPr>
            <m:sty m:val="p"/>
          </m:rPr>
          <m:t>/</m:t>
        </m:r>
        <m:sSub>
          <m:e>
            <m:r>
              <m:t>R</m:t>
            </m:r>
          </m:e>
          <m:sub>
            <m:r>
              <m:rPr>
                <m:sty m:val="p"/>
              </m:rPr>
              <m:t>r</m:t>
            </m:r>
            <m:r>
              <m:rPr>
                <m:sty m:val="p"/>
              </m:rPr>
              <m:t>a</m:t>
            </m:r>
            <m:r>
              <m:rPr>
                <m:sty m:val="p"/>
              </m:rPr>
              <m:t>n</m:t>
            </m:r>
            <m:r>
              <m:rPr>
                <m:sty m:val="p"/>
              </m:rPr>
              <m:t>d</m:t>
            </m:r>
          </m:sub>
        </m:sSub>
        <m:r>
          <m:rPr>
            <m:sty m:val="p"/>
          </m:rPr>
          <m:t>(</m:t>
        </m:r>
        <m:r>
          <m:t>κ</m:t>
        </m:r>
        <m:r>
          <m:rPr>
            <m:sty m:val="p"/>
          </m:rPr>
          <m:t>)</m:t>
        </m:r>
      </m:oMath>
      <w:r>
        <w:t xml:space="preserve">, which equals one for</w:t>
      </w:r>
      <w:r>
        <w:t xml:space="preserve"> </w:t>
      </w:r>
      <m:oMath>
        <m:r>
          <m:t>κ</m:t>
        </m:r>
        <m:r>
          <m:rPr>
            <m:sty m:val="p"/>
          </m:rPr>
          <m:t>=</m:t>
        </m:r>
        <m:r>
          <m:t>0</m:t>
        </m:r>
      </m:oMath>
      <w:r>
        <w:t xml:space="preserve"> </w:t>
      </w:r>
      <w:r>
        <w:t xml:space="preserve">and increases monotonically with</w:t>
      </w:r>
      <w:r>
        <w:t xml:space="preserve"> </w:t>
      </w:r>
      <m:oMath>
        <m:r>
          <m:t>κ</m:t>
        </m:r>
      </m:oMath>
      <w:r>
        <w:t xml:space="preserve">. This captures the empirical pattern that ridge regression is nearly unaffected while tree ensembles are strongly affected: they differ in</w:t>
      </w:r>
      <w:r>
        <w:t xml:space="preserve"> </w:t>
      </w:r>
      <m:oMath>
        <m:r>
          <m:t>κ</m:t>
        </m:r>
      </m:oMath>
      <w:r>
        <w:t xml:space="preserve">, not in the data.</w:t>
      </w:r>
    </w:p>
    <w:p>
      <w:pPr>
        <w:pStyle w:val="BodyText"/>
      </w:pPr>
      <w:r>
        <w:rPr>
          <w:b/>
          <w:bCs/>
        </w:rPr>
        <w:t xml:space="preserve">Approximation error.</w:t>
      </w:r>
      <w:r>
        <w:t xml:space="preserve"> </w:t>
      </w:r>
      <w:r>
        <w:t xml:space="preserve">If the learner estimates</w:t>
      </w:r>
      <w:r>
        <w:t xml:space="preserve"> </w:t>
      </w:r>
      <m:oMath>
        <m:r>
          <m:t>f</m:t>
        </m:r>
      </m:oMath>
      <w:r>
        <w:t xml:space="preserve"> </w:t>
      </w:r>
      <w:r>
        <w:t xml:space="preserve">with error that is similar in both protocols, with mean-squared value</w:t>
      </w:r>
      <w:r>
        <w:t xml:space="preserve"> </w:t>
      </w:r>
      <m:oMath>
        <m:sSup>
          <m:e>
            <m:r>
              <m:t>τ</m:t>
            </m:r>
          </m:e>
          <m:sup>
            <m:r>
              <m:t>2</m:t>
            </m:r>
          </m:sup>
        </m:sSup>
      </m:oMath>
      <w:r>
        <w:t xml:space="preserve">, both risks increase by</w:t>
      </w:r>
      <w:r>
        <w:t xml:space="preserve"> </w:t>
      </w:r>
      <m:oMath>
        <m:sSup>
          <m:e>
            <m:r>
              <m:t>τ</m:t>
            </m:r>
          </m:e>
          <m:sup>
            <m:r>
              <m:t>2</m:t>
            </m:r>
          </m:sup>
        </m:sSup>
      </m:oMath>
      <w:r>
        <w:t xml:space="preserve"> </w:t>
      </w:r>
      <w:r>
        <w:t xml:space="preserve">and</w:t>
      </w:r>
    </w:p>
    <w:p>
      <w:pPr>
        <w:pStyle w:val="BodyText"/>
      </w:pPr>
      <m:oMathPara>
        <m:oMathParaPr>
          <m:jc m:val="center"/>
        </m:oMathParaPr>
        <m:oMath>
          <m:sSup>
            <m:e>
              <m:r>
                <m:t>ρ</m:t>
              </m:r>
            </m:e>
            <m:sup>
              <m:r>
                <m:t>2</m:t>
              </m:r>
            </m:sup>
          </m:sSup>
          <m:r>
            <m:rPr>
              <m:sty m:val="p"/>
            </m:rPr>
            <m:t>=</m:t>
          </m:r>
          <m:f>
            <m:fPr>
              <m:type m:val="bar"/>
            </m:fPr>
            <m:num>
              <m:sSup>
                <m:e>
                  <m:r>
                    <m:t>σ</m:t>
                  </m:r>
                </m:e>
                <m:sup>
                  <m:r>
                    <m:t>2</m:t>
                  </m:r>
                </m:sup>
              </m:sSup>
              <m:r>
                <m:rPr>
                  <m:sty m:val="p"/>
                </m:rPr>
                <m:t>+</m:t>
              </m:r>
              <m:sSup>
                <m:e>
                  <m:r>
                    <m:t>τ</m:t>
                  </m:r>
                </m:e>
                <m:sup>
                  <m:r>
                    <m:t>2</m:t>
                  </m:r>
                </m:sup>
              </m:sSup>
            </m:num>
            <m:den>
              <m:sSub>
                <m:e>
                  <m:r>
                    <m:t>R</m:t>
                  </m:r>
                </m:e>
                <m:sub>
                  <m:r>
                    <m:rPr>
                      <m:sty m:val="p"/>
                    </m:rPr>
                    <m:t>r</m:t>
                  </m:r>
                  <m:r>
                    <m:rPr>
                      <m:sty m:val="p"/>
                    </m:rPr>
                    <m:t>a</m:t>
                  </m:r>
                  <m:r>
                    <m:rPr>
                      <m:sty m:val="p"/>
                    </m:rPr>
                    <m:t>n</m:t>
                  </m:r>
                  <m:r>
                    <m:rPr>
                      <m:sty m:val="p"/>
                    </m:rPr>
                    <m:t>d</m:t>
                  </m:r>
                </m:sub>
              </m:sSub>
              <m:r>
                <m:rPr>
                  <m:sty m:val="p"/>
                </m:rPr>
                <m:t>(</m:t>
              </m:r>
              <m:r>
                <m:t>κ</m:t>
              </m:r>
              <m:r>
                <m:rPr>
                  <m:sty m:val="p"/>
                </m:rPr>
                <m:t>)</m:t>
              </m:r>
              <m:r>
                <m:rPr>
                  <m:sty m:val="p"/>
                </m:rPr>
                <m:t>+</m:t>
              </m:r>
              <m:sSup>
                <m:e>
                  <m:r>
                    <m:t>τ</m:t>
                  </m:r>
                </m:e>
                <m:sup>
                  <m:r>
                    <m:t>2</m:t>
                  </m:r>
                </m:sup>
              </m:sSup>
            </m:den>
          </m:f>
          <m:r>
            <m:rPr>
              <m:sty m:val="p"/>
            </m:rPr>
            <m:t>,</m:t>
          </m:r>
          <m:r>
            <m:t>  </m:t>
          </m:r>
          <m:r>
            <m:t>  </m:t>
          </m:r>
          <m:r>
            <m:rPr>
              <m:sty m:val="p"/>
            </m:rPr>
            <m:t>(</m:t>
          </m:r>
          <m:r>
            <m:t>9</m:t>
          </m:r>
          <m:r>
            <m:rPr>
              <m:sty m:val="p"/>
            </m:rPr>
            <m:t>)</m:t>
          </m:r>
        </m:oMath>
      </m:oMathPara>
    </w:p>
    <w:p>
      <w:pPr>
        <w:pStyle w:val="FirstParagraph"/>
      </w:pPr>
      <w:r>
        <w:t xml:space="preserve">which is closer to one. Approximation error therefore dampens the inflation, and it explains why the ratio is smaller for targets that are hard to model even without leakage.</w:t>
      </w:r>
    </w:p>
    <w:p>
      <w:pPr>
        <w:pStyle w:val="BodyText"/>
      </w:pPr>
      <w:r>
        <w:rPr>
          <w:b/>
          <w:bCs/>
        </w:rPr>
        <w:t xml:space="preserve">Group-specific functions.</w:t>
      </w:r>
      <w:r>
        <w:t xml:space="preserve"> </w:t>
      </w:r>
      <w:r>
        <w:t xml:space="preserve">Random intercepts are the simplest form of group dependence. In practice groups differ also in how the target responds to within-group features (the effect of glazing area on the load of a building depends on its geometry; the response of a speech measure to disease progression differs between patients). Replace</w:t>
      </w:r>
      <w:r>
        <w:t xml:space="preserve"> </w:t>
      </w:r>
      <m:oMath>
        <m:sSub>
          <m:e>
            <m:r>
              <m:t>u</m:t>
            </m:r>
          </m:e>
          <m:sub>
            <m:r>
              <m:t>i</m:t>
            </m:r>
          </m:sub>
        </m:sSub>
      </m:oMath>
      <w:r>
        <w:t xml:space="preserve"> </w:t>
      </w:r>
      <w:r>
        <w:t xml:space="preserve">in Eq. (1) by a group-specific function</w:t>
      </w:r>
      <w:r>
        <w:t xml:space="preserve"> </w:t>
      </w:r>
      <m:oMath>
        <m:sSub>
          <m:e>
            <m:r>
              <m:t>g</m:t>
            </m:r>
          </m:e>
          <m:sub>
            <m:r>
              <m:t>i</m:t>
            </m:r>
          </m:sub>
        </m:sSub>
        <m:r>
          <m:rPr>
            <m:sty m:val="p"/>
          </m:rPr>
          <m:t>(</m:t>
        </m:r>
        <m:sSub>
          <m:e>
            <m:r>
              <m:t>x</m:t>
            </m:r>
          </m:e>
          <m:sub>
            <m:r>
              <m:t>i</m:t>
            </m:r>
            <m:r>
              <m:t>j</m:t>
            </m:r>
          </m:sub>
        </m:sSub>
        <m:r>
          <m:rPr>
            <m:sty m:val="p"/>
          </m:rPr>
          <m:t>)</m:t>
        </m:r>
      </m:oMath>
      <w:r>
        <w:t xml:space="preserve"> </w:t>
      </w:r>
      <w:r>
        <w:t xml:space="preserve">with mean-squared value</w:t>
      </w:r>
      <w:r>
        <w:t xml:space="preserve"> </w:t>
      </w:r>
      <m:oMath>
        <m:sSubSup>
          <m:e>
            <m:r>
              <m:t>σ</m:t>
            </m:r>
          </m:e>
          <m:sub>
            <m:r>
              <m:t>G</m:t>
            </m:r>
          </m:sub>
          <m:sup>
            <m:r>
              <m:t>2</m:t>
            </m:r>
          </m:sup>
        </m:sSubSup>
      </m:oMath>
      <w:r>
        <w:t xml:space="preserve">; the random intercept is the special case</w:t>
      </w:r>
      <w:r>
        <w:t xml:space="preserve"> </w:t>
      </w:r>
      <m:oMath>
        <m:sSub>
          <m:e>
            <m:r>
              <m:t>g</m:t>
            </m:r>
          </m:e>
          <m:sub>
            <m:r>
              <m:t>i</m:t>
            </m:r>
          </m:sub>
        </m:sSub>
        <m:r>
          <m:rPr>
            <m:sty m:val="p"/>
          </m:rPr>
          <m:t>≡</m:t>
        </m:r>
        <m:sSub>
          <m:e>
            <m:r>
              <m:t>u</m:t>
            </m:r>
          </m:e>
          <m:sub>
            <m:r>
              <m:t>i</m:t>
            </m:r>
          </m:sub>
        </m:sSub>
      </m:oMath>
      <w:r>
        <w:t xml:space="preserve">. A learner with enough capacity and enough rows per group can estimate</w:t>
      </w:r>
      <w:r>
        <w:t xml:space="preserve"> </w:t>
      </w:r>
      <m:oMath>
        <m:sSub>
          <m:e>
            <m:r>
              <m:t>g</m:t>
            </m:r>
          </m:e>
          <m:sub>
            <m:r>
              <m:t>i</m:t>
            </m:r>
          </m:sub>
        </m:sSub>
      </m:oMath>
      <w:r>
        <w:t xml:space="preserve"> </w:t>
      </w:r>
      <w:r>
        <w:t xml:space="preserve">for a seen group with posterior mean-squared error</w:t>
      </w:r>
      <w:r>
        <w:t xml:space="preserve"> </w:t>
      </w:r>
      <m:oMath>
        <m:sSub>
          <m:e>
            <m:r>
              <m:t>V</m:t>
            </m:r>
          </m:e>
          <m:sub>
            <m:r>
              <m:t>G</m:t>
            </m:r>
          </m:sub>
        </m:sSub>
        <m:r>
          <m:rPr>
            <m:sty m:val="p"/>
          </m:rPr>
          <m:t>(</m:t>
        </m:r>
        <m:r>
          <m:t>n</m:t>
        </m:r>
        <m:r>
          <m:rPr>
            <m:sty m:val="p"/>
          </m:rPr>
          <m:t>)</m:t>
        </m:r>
        <m:r>
          <m:rPr>
            <m:sty m:val="p"/>
          </m:rPr>
          <m:t>≤</m:t>
        </m:r>
        <m:sSubSup>
          <m:e>
            <m:r>
              <m:t>σ</m:t>
            </m:r>
          </m:e>
          <m:sub>
            <m:r>
              <m:t>G</m:t>
            </m:r>
          </m:sub>
          <m:sup>
            <m:r>
              <m:t>2</m:t>
            </m:r>
          </m:sup>
        </m:sSubSup>
      </m:oMath>
      <w:r>
        <w:t xml:space="preserve">, so that</w:t>
      </w:r>
    </w:p>
    <w:p>
      <w:pPr>
        <w:pStyle w:val="BodyText"/>
      </w:pPr>
      <m:oMathPara>
        <m:oMathParaPr>
          <m:jc m:val="center"/>
        </m:oMathParaPr>
        <m:oMath>
          <m:sSup>
            <m:e>
              <m:r>
                <m:t>ρ</m:t>
              </m:r>
            </m:e>
            <m:sup>
              <m:r>
                <m:t>2</m:t>
              </m:r>
            </m:sup>
          </m:sSup>
          <m:r>
            <m:rPr>
              <m:sty m:val="p"/>
            </m:rPr>
            <m:t>=</m:t>
          </m:r>
          <m:f>
            <m:fPr>
              <m:type m:val="bar"/>
            </m:fPr>
            <m:num>
              <m:sSubSup>
                <m:e>
                  <m:r>
                    <m:t>σ</m:t>
                  </m:r>
                </m:e>
                <m:sub>
                  <m:r>
                    <m:t>G</m:t>
                  </m:r>
                </m:sub>
                <m:sup>
                  <m:r>
                    <m:t>2</m:t>
                  </m:r>
                </m:sup>
              </m:sSubSup>
              <m:r>
                <m:rPr>
                  <m:sty m:val="p"/>
                </m:rPr>
                <m:t>+</m:t>
              </m:r>
              <m:sSubSup>
                <m:e>
                  <m:r>
                    <m:t>σ</m:t>
                  </m:r>
                </m:e>
                <m:sub>
                  <m:r>
                    <m:t>ε</m:t>
                  </m:r>
                </m:sub>
                <m:sup>
                  <m:r>
                    <m:t>2</m:t>
                  </m:r>
                </m:sup>
              </m:sSubSup>
            </m:num>
            <m:den>
              <m:sSub>
                <m:e>
                  <m:r>
                    <m:t>V</m:t>
                  </m:r>
                </m:e>
                <m:sub>
                  <m:r>
                    <m:t>G</m:t>
                  </m:r>
                </m:sub>
              </m:sSub>
              <m:r>
                <m:rPr>
                  <m:sty m:val="p"/>
                </m:rPr>
                <m:t>(</m:t>
              </m:r>
              <m:r>
                <m:t>n</m:t>
              </m:r>
              <m:r>
                <m:rPr>
                  <m:sty m:val="p"/>
                </m:rPr>
                <m:t>)</m:t>
              </m:r>
              <m:r>
                <m:rPr>
                  <m:sty m:val="p"/>
                </m:rPr>
                <m:t>+</m:t>
              </m:r>
              <m:sSubSup>
                <m:e>
                  <m:r>
                    <m:t>σ</m:t>
                  </m:r>
                </m:e>
                <m:sub>
                  <m:r>
                    <m:t>ε</m:t>
                  </m:r>
                </m:sub>
                <m:sup>
                  <m:r>
                    <m:t>2</m:t>
                  </m:r>
                </m:sup>
              </m:sSubSup>
            </m:den>
          </m:f>
          <m:r>
            <m:t> </m:t>
          </m:r>
          <m:r>
            <m:rPr>
              <m:sty m:val="p"/>
            </m:rPr>
            <m:t>≤</m:t>
          </m:r>
          <m:r>
            <m:t> </m:t>
          </m:r>
          <m:r>
            <m:t>1</m:t>
          </m:r>
          <m:r>
            <m:rPr>
              <m:sty m:val="p"/>
            </m:rPr>
            <m:t>+</m:t>
          </m:r>
          <m:f>
            <m:fPr>
              <m:type m:val="bar"/>
            </m:fPr>
            <m:num>
              <m:sSubSup>
                <m:e>
                  <m:r>
                    <m:t>σ</m:t>
                  </m:r>
                </m:e>
                <m:sub>
                  <m:r>
                    <m:t>G</m:t>
                  </m:r>
                </m:sub>
                <m:sup>
                  <m:r>
                    <m:t>2</m:t>
                  </m:r>
                </m:sup>
              </m:sSubSup>
            </m:num>
            <m:den>
              <m:sSubSup>
                <m:e>
                  <m:r>
                    <m:t>σ</m:t>
                  </m:r>
                </m:e>
                <m:sub>
                  <m:r>
                    <m:t>ε</m:t>
                  </m:r>
                </m:sub>
                <m:sup>
                  <m:r>
                    <m:t>2</m:t>
                  </m:r>
                </m:sup>
              </m:sSubSup>
            </m:den>
          </m:f>
          <m:r>
            <m:rPr>
              <m:sty m:val="p"/>
            </m:rPr>
            <m:t>=</m:t>
          </m:r>
          <m:f>
            <m:fPr>
              <m:type m:val="bar"/>
            </m:fPr>
            <m:num>
              <m:r>
                <m:t>1</m:t>
              </m:r>
            </m:num>
            <m:den>
              <m:r>
                <m:t>1</m:t>
              </m:r>
              <m:r>
                <m:rPr>
                  <m:sty m:val="p"/>
                </m:rPr>
                <m:t>−</m:t>
              </m:r>
              <m:sSub>
                <m:e>
                  <m:r>
                    <m:t>r</m:t>
                  </m:r>
                </m:e>
                <m:sub>
                  <m:r>
                    <m:t>G</m:t>
                  </m:r>
                </m:sub>
              </m:sSub>
            </m:den>
          </m:f>
          <m:r>
            <m:rPr>
              <m:sty m:val="p"/>
            </m:rPr>
            <m:t>,</m:t>
          </m:r>
          <m:r>
            <m:t>  </m:t>
          </m:r>
          <m:sSub>
            <m:e>
              <m:r>
                <m:t>r</m:t>
              </m:r>
            </m:e>
            <m:sub>
              <m:r>
                <m:t>G</m:t>
              </m:r>
            </m:sub>
          </m:sSub>
          <m:r>
            <m:rPr>
              <m:sty m:val="p"/>
            </m:rPr>
            <m:t>=</m:t>
          </m:r>
          <m:f>
            <m:fPr>
              <m:type m:val="bar"/>
            </m:fPr>
            <m:num>
              <m:sSubSup>
                <m:e>
                  <m:r>
                    <m:t>σ</m:t>
                  </m:r>
                </m:e>
                <m:sub>
                  <m:r>
                    <m:t>G</m:t>
                  </m:r>
                </m:sub>
                <m:sup>
                  <m:r>
                    <m:t>2</m:t>
                  </m:r>
                </m:sup>
              </m:sSubSup>
            </m:num>
            <m:den>
              <m:sSubSup>
                <m:e>
                  <m:r>
                    <m:t>σ</m:t>
                  </m:r>
                </m:e>
                <m:sub>
                  <m:r>
                    <m:t>G</m:t>
                  </m:r>
                </m:sub>
                <m:sup>
                  <m:r>
                    <m:t>2</m:t>
                  </m:r>
                </m:sup>
              </m:sSubSup>
              <m:r>
                <m:rPr>
                  <m:sty m:val="p"/>
                </m:rPr>
                <m:t>+</m:t>
              </m:r>
              <m:sSubSup>
                <m:e>
                  <m:r>
                    <m:t>σ</m:t>
                  </m:r>
                </m:e>
                <m:sub>
                  <m:r>
                    <m:t>ε</m:t>
                  </m:r>
                </m:sub>
                <m:sup>
                  <m:r>
                    <m:t>2</m:t>
                  </m:r>
                </m:sup>
              </m:sSubSup>
            </m:den>
          </m:f>
          <m:r>
            <m:rPr>
              <m:sty m:val="p"/>
            </m:rPr>
            <m:t>.</m:t>
          </m:r>
          <m:r>
            <m:t>  </m:t>
          </m:r>
          <m:r>
            <m:t>  </m:t>
          </m:r>
          <m:r>
            <m:rPr>
              <m:sty m:val="p"/>
            </m:rPr>
            <m:t>(</m:t>
          </m:r>
          <m:r>
            <m:t>10</m:t>
          </m:r>
          <m:r>
            <m:rPr>
              <m:sty m:val="p"/>
            </m:rPr>
            <m:t>)</m:t>
          </m:r>
        </m:oMath>
      </m:oMathPara>
    </w:p>
    <w:p>
      <w:pPr>
        <w:pStyle w:val="FirstParagraph"/>
      </w:pPr>
      <w:r>
        <w:t xml:space="preserve">The group-specific share</w:t>
      </w:r>
      <w:r>
        <w:t xml:space="preserve"> </w:t>
      </w:r>
      <m:oMath>
        <m:sSub>
          <m:e>
            <m:r>
              <m:t>r</m:t>
            </m:r>
          </m:e>
          <m:sub>
            <m:r>
              <m:t>G</m:t>
            </m:r>
          </m:sub>
        </m:sSub>
      </m:oMath>
      <w:r>
        <w:t xml:space="preserve"> </w:t>
      </w:r>
      <w:r>
        <w:t xml:space="preserve">is at least the intercept-only ICC</w:t>
      </w:r>
      <w:r>
        <w:t xml:space="preserve"> </w:t>
      </w:r>
      <m:oMath>
        <m:r>
          <m:t>r</m:t>
        </m:r>
      </m:oMath>
      <w:r>
        <w:t xml:space="preserve"> </w:t>
      </w:r>
      <w:r>
        <w:t xml:space="preserve">and is not identified by the ICC alone. The inequality can be turned around: since</w:t>
      </w:r>
      <w:r>
        <w:t xml:space="preserve"> </w:t>
      </w:r>
      <m:oMath>
        <m:sSub>
          <m:e>
            <m:r>
              <m:t>R</m:t>
            </m:r>
          </m:e>
          <m:sub>
            <m:r>
              <m:rPr>
                <m:sty m:val="p"/>
              </m:rPr>
              <m:t>r</m:t>
            </m:r>
            <m:r>
              <m:rPr>
                <m:sty m:val="p"/>
              </m:rPr>
              <m:t>a</m:t>
            </m:r>
            <m:r>
              <m:rPr>
                <m:sty m:val="p"/>
              </m:rPr>
              <m:t>n</m:t>
            </m:r>
            <m:r>
              <m:rPr>
                <m:sty m:val="p"/>
              </m:rPr>
              <m:t>d</m:t>
            </m:r>
          </m:sub>
        </m:sSub>
        <m:r>
          <m:rPr>
            <m:sty m:val="p"/>
          </m:rPr>
          <m:t>≥</m:t>
        </m:r>
        <m:sSubSup>
          <m:e>
            <m:r>
              <m:t>σ</m:t>
            </m:r>
          </m:e>
          <m:sub>
            <m:r>
              <m:t>ε</m:t>
            </m:r>
          </m:sub>
          <m:sup>
            <m:r>
              <m:t>2</m:t>
            </m:r>
          </m:sup>
        </m:sSubSup>
      </m:oMath>
      <w:r>
        <w:t xml:space="preserve"> </w:t>
      </w:r>
      <w:r>
        <w:t xml:space="preserve">for any learner and, if the risk on unseen groups equals</w:t>
      </w:r>
      <w:r>
        <w:t xml:space="preserve"> </w:t>
      </w:r>
      <m:oMath>
        <m:sSubSup>
          <m:e>
            <m:r>
              <m:t>σ</m:t>
            </m:r>
          </m:e>
          <m:sub>
            <m:r>
              <m:t>G</m:t>
            </m:r>
          </m:sub>
          <m:sup>
            <m:r>
              <m:t>2</m:t>
            </m:r>
          </m:sup>
        </m:sSubSup>
        <m:r>
          <m:rPr>
            <m:sty m:val="p"/>
          </m:rPr>
          <m:t>+</m:t>
        </m:r>
        <m:sSubSup>
          <m:e>
            <m:r>
              <m:t>σ</m:t>
            </m:r>
          </m:e>
          <m:sub>
            <m:r>
              <m:t>ε</m:t>
            </m:r>
          </m:sub>
          <m:sup>
            <m:r>
              <m:t>2</m:t>
            </m:r>
          </m:sup>
        </m:sSubSup>
      </m:oMath>
      <w:r>
        <w:t xml:space="preserve">, an observed inflation</w:t>
      </w:r>
      <w:r>
        <w:t xml:space="preserve"> </w:t>
      </w:r>
      <m:oMath>
        <m:r>
          <m:t>ρ</m:t>
        </m:r>
      </m:oMath>
      <w:r>
        <w:t xml:space="preserve"> </w:t>
      </w:r>
      <w:r>
        <w:t xml:space="preserve">implies</w:t>
      </w:r>
    </w:p>
    <w:p>
      <w:pPr>
        <w:pStyle w:val="BodyText"/>
      </w:pPr>
      <m:oMathPara>
        <m:oMathParaPr>
          <m:jc m:val="center"/>
        </m:oMathParaPr>
        <m:oMath>
          <m:sSub>
            <m:e>
              <m:r>
                <m:t>r</m:t>
              </m:r>
            </m:e>
            <m:sub>
              <m:r>
                <m:t>G</m:t>
              </m:r>
            </m:sub>
          </m:sSub>
          <m:r>
            <m:t> </m:t>
          </m:r>
          <m:r>
            <m:rPr>
              <m:sty m:val="p"/>
            </m:rPr>
            <m:t>≥</m:t>
          </m:r>
          <m:r>
            <m:t> </m:t>
          </m:r>
          <m:r>
            <m:t>1</m:t>
          </m:r>
          <m:r>
            <m:rPr>
              <m:sty m:val="p"/>
            </m:rPr>
            <m:t>−</m:t>
          </m:r>
          <m:f>
            <m:fPr>
              <m:type m:val="bar"/>
            </m:fPr>
            <m:num>
              <m:r>
                <m:t>1</m:t>
              </m:r>
            </m:num>
            <m:den>
              <m:sSup>
                <m:e>
                  <m:r>
                    <m:t>ρ</m:t>
                  </m:r>
                </m:e>
                <m:sup>
                  <m:r>
                    <m:t>2</m:t>
                  </m:r>
                </m:sup>
              </m:sSup>
            </m:den>
          </m:f>
          <m:r>
            <m:rPr>
              <m:sty m:val="p"/>
            </m:rPr>
            <m:t>.</m:t>
          </m:r>
          <m:r>
            <m:t>  </m:t>
          </m:r>
          <m:r>
            <m:t>  </m:t>
          </m:r>
          <m:r>
            <m:rPr>
              <m:sty m:val="p"/>
            </m:rPr>
            <m:t>(</m:t>
          </m:r>
          <m:r>
            <m:t>11</m:t>
          </m:r>
          <m:r>
            <m:rPr>
              <m:sty m:val="p"/>
            </m:rPr>
            <m:t>)</m:t>
          </m:r>
        </m:oMath>
      </m:oMathPara>
    </w:p>
    <w:p>
      <w:pPr>
        <w:pStyle w:val="FirstParagraph"/>
      </w:pPr>
      <w:r>
        <w:t xml:space="preserve">(Any additional approximation error that affects only unseen groups enters the bound as well, so</w:t>
      </w:r>
      <w:r>
        <w:t xml:space="preserve"> </w:t>
      </w:r>
      <m:oMath>
        <m:sSub>
          <m:e>
            <m:r>
              <m:t>r</m:t>
            </m:r>
          </m:e>
          <m:sub>
            <m:r>
              <m:t>G</m:t>
            </m:r>
          </m:sub>
        </m:sSub>
      </m:oMath>
      <w:r>
        <w:t xml:space="preserve"> </w:t>
      </w:r>
      <w:r>
        <w:t xml:space="preserve">is best read as the share of the held-out risk that is group-specific.) For a deterministic simulation such as ENB2012,</w:t>
      </w:r>
      <w:r>
        <w:t xml:space="preserve"> </w:t>
      </w:r>
      <m:oMath>
        <m:sSubSup>
          <m:e>
            <m:r>
              <m:t>σ</m:t>
            </m:r>
          </m:e>
          <m:sub>
            <m:r>
              <m:t>ε</m:t>
            </m:r>
          </m:sub>
          <m:sup>
            <m:r>
              <m:t>2</m:t>
            </m:r>
          </m:sup>
        </m:sSubSup>
        <m:r>
          <m:rPr>
            <m:sty m:val="p"/>
          </m:rPr>
          <m:t>=</m:t>
        </m:r>
        <m:r>
          <m:t>0</m:t>
        </m:r>
      </m:oMath>
      <w:r>
        <w:t xml:space="preserve"> </w:t>
      </w:r>
      <w:r>
        <w:t xml:space="preserve">and the bound in Eq. (10) is infinite, so the inflation is limited only by the learner’s approximation error; in noisy data such as voice recordings it is limited by the measurement noise. We use Eq. (11) in Section 6.5 to infer a lower bound on the group-specific variance share from observed inflation ratios, and compare it with the intercept-only ICC.</w:t>
      </w:r>
    </w:p>
    <w:p>
      <w:pPr>
        <w:pStyle w:val="BodyText"/>
      </w:pPr>
      <w:r>
        <w:rPr>
          <w:b/>
          <w:bCs/>
        </w:rPr>
        <w:t xml:space="preserve">Operational form.</w:t>
      </w:r>
      <w:r>
        <w:t xml:space="preserve"> </w:t>
      </w:r>
      <w:r>
        <w:t xml:space="preserve">In practice</w:t>
      </w:r>
      <w:r>
        <w:t xml:space="preserve"> </w:t>
      </w:r>
      <m:oMath>
        <m:sSubSup>
          <m:e>
            <m:r>
              <m:t>σ</m:t>
            </m:r>
          </m:e>
          <m:sub>
            <m:r>
              <m:t>u</m:t>
            </m:r>
          </m:sub>
          <m:sup>
            <m:r>
              <m:t>2</m:t>
            </m:r>
          </m:sup>
        </m:sSubSup>
      </m:oMath>
      <w:r>
        <w:t xml:space="preserve"> </w:t>
      </w:r>
      <w:r>
        <w:t xml:space="preserve">and</w:t>
      </w:r>
      <w:r>
        <w:t xml:space="preserve"> </w:t>
      </w:r>
      <m:oMath>
        <m:sSubSup>
          <m:e>
            <m:r>
              <m:t>σ</m:t>
            </m:r>
          </m:e>
          <m:sub>
            <m:r>
              <m:t>ε</m:t>
            </m:r>
          </m:sub>
          <m:sup>
            <m:r>
              <m:t>2</m:t>
            </m:r>
          </m:sup>
        </m:sSubSup>
      </m:oMath>
      <w:r>
        <w:t xml:space="preserve"> </w:t>
      </w:r>
      <w:r>
        <w:t xml:space="preserve">are not known, but they can be estimated from the group-held-out residuals</w:t>
      </w:r>
      <w:r>
        <w:t xml:space="preserve"> </w:t>
      </w:r>
      <m:oMath>
        <m:sSub>
          <m:e>
            <m:r>
              <m:t>e</m:t>
            </m:r>
          </m:e>
          <m:sub>
            <m:r>
              <m:t>i</m:t>
            </m:r>
            <m:r>
              <m:t>j</m:t>
            </m:r>
          </m:sub>
        </m:sSub>
      </m:oMath>
      <w:r>
        <w:t xml:space="preserve"> </w:t>
      </w:r>
      <w:r>
        <w:t xml:space="preserve">of any model:</w:t>
      </w:r>
      <w:r>
        <w:t xml:space="preserve"> </w:t>
      </w:r>
      <m:oMath>
        <m:sSubSup>
          <m:e>
            <m:acc>
              <m:accPr>
                <m:chr m:val="̂"/>
              </m:accPr>
              <m:e>
                <m:r>
                  <m:t>σ</m:t>
                </m:r>
              </m:e>
            </m:acc>
          </m:e>
          <m:sub>
            <m:r>
              <m:t>u</m:t>
            </m:r>
          </m:sub>
          <m:sup>
            <m:r>
              <m:t>2</m:t>
            </m:r>
          </m:sup>
        </m:sSubSup>
      </m:oMath>
      <w:r>
        <w:t xml:space="preserve"> </w:t>
      </w:r>
      <w:r>
        <w:t xml:space="preserve">is the mean squared group-mean residual and</w:t>
      </w:r>
      <w:r>
        <w:t xml:space="preserve"> </w:t>
      </w:r>
      <m:oMath>
        <m:sSubSup>
          <m:e>
            <m:acc>
              <m:accPr>
                <m:chr m:val="̂"/>
              </m:accPr>
              <m:e>
                <m:r>
                  <m:t>σ</m:t>
                </m:r>
              </m:e>
            </m:acc>
          </m:e>
          <m:sub>
            <m:r>
              <m:t>ε</m:t>
            </m:r>
          </m:sub>
          <m:sup>
            <m:r>
              <m:t>2</m:t>
            </m:r>
          </m:sup>
        </m:sSubSup>
      </m:oMath>
      <w:r>
        <w:t xml:space="preserve"> </w:t>
      </w:r>
      <w:r>
        <w:t xml:space="preserve">is the remaining within-group energy. Substituting them into Eq. (6) yields the inflation that a learner could achieve by exploiting group</w:t>
      </w:r>
      <w:r>
        <w:t xml:space="preserve"> </w:t>
      </w:r>
      <w:r>
        <w:rPr>
          <w:i/>
          <w:iCs/>
        </w:rPr>
        <w:t xml:space="preserve">offsets</w:t>
      </w:r>
      <w:r>
        <w:t xml:space="preserve">. Section 6.5 compares this value with observed ratios; because real groups also differ in their responses to within-group features, observed ratios can exceed it, in which case Eq. (11) gives the implied group-specific share.</w:t>
      </w:r>
    </w:p>
    <w:bookmarkEnd w:id="26"/>
    <w:bookmarkStart w:id="27" w:name="X09cebd1004202c87ed30891437373208525d35d"/>
    <w:p>
      <w:pPr>
        <w:pStyle w:val="Heading2"/>
      </w:pPr>
      <w:r>
        <w:rPr>
          <w:rStyle w:val="SectionNumber"/>
        </w:rPr>
        <w:t xml:space="preserve">3.3</w:t>
      </w:r>
      <w:r>
        <w:tab/>
      </w:r>
      <w:r>
        <w:t xml:space="preserve">Leakage fraction under K-fold cross-validation</w:t>
      </w:r>
    </w:p>
    <w:p>
      <w:pPr>
        <w:pStyle w:val="FirstParagraph"/>
      </w:pPr>
      <w:r>
        <w:t xml:space="preserve">Under random</w:t>
      </w:r>
      <w:r>
        <w:t xml:space="preserve"> </w:t>
      </w:r>
      <m:oMath>
        <m:r>
          <m:t>K</m:t>
        </m:r>
      </m:oMath>
      <w:r>
        <w:t xml:space="preserve">-fold cross-validation each row is placed in the test fold with probability</w:t>
      </w:r>
      <w:r>
        <w:t xml:space="preserve"> </w:t>
      </w:r>
      <m:oMath>
        <m:r>
          <m:t>1</m:t>
        </m:r>
        <m:r>
          <m:rPr>
            <m:sty m:val="p"/>
          </m:rPr>
          <m:t>/</m:t>
        </m:r>
        <m:r>
          <m:t>K</m:t>
        </m:r>
      </m:oMath>
      <w:r>
        <w:t xml:space="preserve">. A test row from a group of size</w:t>
      </w:r>
      <w:r>
        <w:t xml:space="preserve"> </w:t>
      </w:r>
      <m:oMath>
        <m:r>
          <m:t>m</m:t>
        </m:r>
      </m:oMath>
      <w:r>
        <w:t xml:space="preserve"> </w:t>
      </w:r>
      <w:r>
        <w:t xml:space="preserve">has no group-mate in the training set only if all other</w:t>
      </w:r>
      <w:r>
        <w:t xml:space="preserve"> </w:t>
      </w:r>
      <m:oMath>
        <m:r>
          <m:t>m</m:t>
        </m:r>
        <m:r>
          <m:rPr>
            <m:sty m:val="p"/>
          </m:rPr>
          <m:t>−</m:t>
        </m:r>
        <m:r>
          <m:t>1</m:t>
        </m:r>
      </m:oMath>
      <w:r>
        <w:t xml:space="preserve"> </w:t>
      </w:r>
      <w:r>
        <w:t xml:space="preserve">members are also in the test fold, which has probability</w:t>
      </w:r>
      <w:r>
        <w:t xml:space="preserve"> </w:t>
      </w:r>
      <m:oMath>
        <m:sSup>
          <m:e>
            <m:r>
              <m:t>K</m:t>
            </m:r>
          </m:e>
          <m:sup>
            <m:r>
              <m:rPr>
                <m:sty m:val="p"/>
              </m:rPr>
              <m:t>−</m:t>
            </m:r>
            <m:r>
              <m:rPr>
                <m:sty m:val="p"/>
              </m:rPr>
              <m:t>(</m:t>
            </m:r>
            <m:r>
              <m:t>m</m:t>
            </m:r>
            <m:r>
              <m:rPr>
                <m:sty m:val="p"/>
              </m:rPr>
              <m:t>−</m:t>
            </m:r>
            <m:r>
              <m:t>1</m:t>
            </m:r>
            <m:r>
              <m:rPr>
                <m:sty m:val="p"/>
              </m:rPr>
              <m:t>)</m:t>
            </m:r>
          </m:sup>
        </m:sSup>
      </m:oMath>
      <w:r>
        <w:t xml:space="preserve"> </w:t>
      </w:r>
      <w:r>
        <w:t xml:space="preserve">when assignments are independent. The expected fraction of test rows with at least one training group-mate is therefore</w:t>
      </w:r>
    </w:p>
    <w:p>
      <w:pPr>
        <w:pStyle w:val="BodyText"/>
      </w:pPr>
      <m:oMathPara>
        <m:oMathParaPr>
          <m:jc m:val="center"/>
        </m:oMathParaPr>
        <m:oMath>
          <m:r>
            <m:t>L</m:t>
          </m:r>
          <m:r>
            <m:rPr>
              <m:sty m:val="p"/>
            </m:rPr>
            <m:t>(</m:t>
          </m:r>
          <m:r>
            <m:t>K</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G</m:t>
              </m:r>
            </m:sup>
            <m:e>
              <m:sSub>
                <m:e>
                  <m:r>
                    <m:t>m</m:t>
                  </m:r>
                </m:e>
                <m:sub>
                  <m:r>
                    <m:t>i</m:t>
                  </m:r>
                </m:sub>
              </m:sSub>
            </m:e>
          </m:nary>
          <m:d>
            <m:dPr>
              <m:begChr m:val="("/>
              <m:sepChr m:val=""/>
              <m:endChr m:val=")"/>
              <m:grow/>
            </m:dPr>
            <m:e>
              <m:r>
                <m:t>1</m:t>
              </m:r>
              <m:r>
                <m:rPr>
                  <m:sty m:val="p"/>
                </m:rPr>
                <m:t>−</m:t>
              </m:r>
              <m:sSup>
                <m:e>
                  <m:r>
                    <m:t>K</m:t>
                  </m:r>
                </m:e>
                <m:sup>
                  <m:r>
                    <m:rPr>
                      <m:sty m:val="p"/>
                    </m:rPr>
                    <m:t>−</m:t>
                  </m:r>
                  <m:r>
                    <m:rPr>
                      <m:sty m:val="p"/>
                    </m:rPr>
                    <m:t>(</m:t>
                  </m:r>
                  <m:sSub>
                    <m:e>
                      <m:r>
                        <m:t>m</m:t>
                      </m:r>
                    </m:e>
                    <m:sub>
                      <m:r>
                        <m:t>i</m:t>
                      </m:r>
                    </m:sub>
                  </m:sSub>
                  <m:r>
                    <m:rPr>
                      <m:sty m:val="p"/>
                    </m:rPr>
                    <m:t>−</m:t>
                  </m:r>
                  <m:r>
                    <m:t>1</m:t>
                  </m:r>
                  <m:r>
                    <m:rPr>
                      <m:sty m:val="p"/>
                    </m:rPr>
                    <m:t>)</m:t>
                  </m:r>
                </m:sup>
              </m:sSup>
            </m:e>
          </m:d>
          <m:r>
            <m:rPr>
              <m:sty m:val="p"/>
            </m:rPr>
            <m:t>,</m:t>
          </m:r>
          <m:r>
            <m:t>  </m:t>
          </m:r>
          <m:r>
            <m:t>  </m:t>
          </m:r>
          <m:r>
            <m:rPr>
              <m:sty m:val="p"/>
            </m:rPr>
            <m:t>(</m:t>
          </m:r>
          <m:r>
            <m:t>12</m:t>
          </m:r>
          <m:r>
            <m:rPr>
              <m:sty m:val="p"/>
            </m:rPr>
            <m:t>)</m:t>
          </m:r>
        </m:oMath>
      </m:oMathPara>
    </w:p>
    <w:p>
      <w:pPr>
        <w:pStyle w:val="FirstParagraph"/>
      </w:pPr>
      <w:r>
        <w:t xml:space="preserve">and the expected number of training group-mates of a test row is</w:t>
      </w:r>
      <w:r>
        <w:t xml:space="preserve"> </w:t>
      </w:r>
      <m:oMath>
        <m:r>
          <m:rPr>
            <m:sty m:val="p"/>
          </m:rPr>
          <m:t>(</m:t>
        </m:r>
        <m:sSub>
          <m:e>
            <m:r>
              <m:t>m</m:t>
            </m:r>
          </m:e>
          <m:sub>
            <m:r>
              <m:t>i</m:t>
            </m:r>
          </m:sub>
        </m:sSub>
        <m:r>
          <m:rPr>
            <m:sty m:val="p"/>
          </m:rPr>
          <m:t>−</m:t>
        </m:r>
        <m:r>
          <m:t>1</m:t>
        </m:r>
        <m:r>
          <m:rPr>
            <m:sty m:val="p"/>
          </m:rPr>
          <m:t>)</m:t>
        </m:r>
        <m:r>
          <m:rPr>
            <m:sty m:val="p"/>
          </m:rPr>
          <m:t>(</m:t>
        </m:r>
        <m:r>
          <m:t>K</m:t>
        </m:r>
        <m:r>
          <m:rPr>
            <m:sty m:val="p"/>
          </m:rPr>
          <m:t>−</m:t>
        </m:r>
        <m:r>
          <m:t>1</m:t>
        </m:r>
        <m:r>
          <m:rPr>
            <m:sty m:val="p"/>
          </m:rPr>
          <m:t>)</m:t>
        </m:r>
        <m:r>
          <m:rPr>
            <m:sty m:val="p"/>
          </m:rPr>
          <m:t>/</m:t>
        </m:r>
        <m:r>
          <m:t>K</m:t>
        </m:r>
      </m:oMath>
      <w:r>
        <w:t xml:space="preserve">, so that the average number of training rows per group in a training set is about</w:t>
      </w:r>
      <w:r>
        <w:t xml:space="preserve"> </w:t>
      </w:r>
      <m:oMath>
        <m:r>
          <m:t>n</m:t>
        </m:r>
        <m:r>
          <m:rPr>
            <m:sty m:val="p"/>
          </m:rPr>
          <m:t>≈</m:t>
        </m:r>
        <m:r>
          <m:t>m</m:t>
        </m:r>
        <m:r>
          <m:rPr>
            <m:sty m:val="p"/>
          </m:rPr>
          <m:t>(</m:t>
        </m:r>
        <m:r>
          <m:t>K</m:t>
        </m:r>
        <m:r>
          <m:rPr>
            <m:sty m:val="p"/>
          </m:rPr>
          <m:t>−</m:t>
        </m:r>
        <m:r>
          <m:t>1</m:t>
        </m:r>
        <m:r>
          <m:rPr>
            <m:sty m:val="p"/>
          </m:rPr>
          <m:t>)</m:t>
        </m:r>
        <m:r>
          <m:rPr>
            <m:sty m:val="p"/>
          </m:rPr>
          <m:t>/</m:t>
        </m:r>
        <m:r>
          <m:t>K</m:t>
        </m:r>
      </m:oMath>
      <w:r>
        <w:t xml:space="preserve">. Eq. (12) shows that random splitting leaks almost completely whenever groups have more than a handful of rows: for</w:t>
      </w:r>
      <w:r>
        <w:t xml:space="preserve"> </w:t>
      </w:r>
      <m:oMath>
        <m:r>
          <m:t>K</m:t>
        </m:r>
        <m:r>
          <m:rPr>
            <m:sty m:val="p"/>
          </m:rPr>
          <m:t>=</m:t>
        </m:r>
        <m:r>
          <m:t>10</m:t>
        </m:r>
      </m:oMath>
      <w:r>
        <w:t xml:space="preserve"> </w:t>
      </w:r>
      <w:r>
        <w:t xml:space="preserve">and</w:t>
      </w:r>
      <w:r>
        <w:t xml:space="preserve"> </w:t>
      </w:r>
      <m:oMath>
        <m:r>
          <m:t>m</m:t>
        </m:r>
        <m:r>
          <m:rPr>
            <m:sty m:val="p"/>
          </m:rPr>
          <m:t>=</m:t>
        </m:r>
        <m:r>
          <m:t>5</m:t>
        </m:r>
      </m:oMath>
      <w:r>
        <w:t xml:space="preserve"> </w:t>
      </w:r>
      <w:r>
        <w:t xml:space="preserve">the leaked fraction is already</w:t>
      </w:r>
      <w:r>
        <w:t xml:space="preserve"> </w:t>
      </w:r>
      <m:oMath>
        <m:r>
          <m:t>1</m:t>
        </m:r>
        <m:r>
          <m:rPr>
            <m:sty m:val="p"/>
          </m:rPr>
          <m:t>−</m:t>
        </m:r>
        <m:sSup>
          <m:e>
            <m:r>
              <m:t>10</m:t>
            </m:r>
          </m:e>
          <m:sup>
            <m:r>
              <m:rPr>
                <m:sty m:val="p"/>
              </m:rPr>
              <m:t>−</m:t>
            </m:r>
            <m:r>
              <m:t>4</m:t>
            </m:r>
          </m:sup>
        </m:sSup>
      </m:oMath>
      <w:r>
        <w:t xml:space="preserve">. The fraction is small only when many groups are singletons (</w:t>
      </w:r>
      <m:oMath>
        <m:sSub>
          <m:e>
            <m:r>
              <m:t>m</m:t>
            </m:r>
          </m:e>
          <m:sub>
            <m:r>
              <m:t>i</m:t>
            </m:r>
          </m:sub>
        </m:sSub>
        <m:r>
          <m:rPr>
            <m:sty m:val="p"/>
          </m:rPr>
          <m:t>=</m:t>
        </m:r>
        <m:r>
          <m:t>1</m:t>
        </m:r>
      </m:oMath>
      <w:r>
        <w:t xml:space="preserve"> </w:t>
      </w:r>
      <w:r>
        <w:t xml:space="preserve">contributes zero) or very small. Grouped splitting makes</w:t>
      </w:r>
      <w:r>
        <w:t xml:space="preserve"> </w:t>
      </w:r>
      <m:oMath>
        <m:r>
          <m:t>L</m:t>
        </m:r>
        <m:r>
          <m:rPr>
            <m:sty m:val="p"/>
          </m:rPr>
          <m:t>=</m:t>
        </m:r>
        <m:r>
          <m:t>0</m:t>
        </m:r>
      </m:oMath>
      <w:r>
        <w:t xml:space="preserve"> </w:t>
      </w:r>
      <w:r>
        <w:t xml:space="preserve">by construction.</w:t>
      </w:r>
    </w:p>
    <w:bookmarkEnd w:id="27"/>
    <w:bookmarkStart w:id="28" w:name="group-level-uncertainty"/>
    <w:p>
      <w:pPr>
        <w:pStyle w:val="Heading2"/>
      </w:pPr>
      <w:r>
        <w:rPr>
          <w:rStyle w:val="SectionNumber"/>
        </w:rPr>
        <w:t xml:space="preserve">3.4</w:t>
      </w:r>
      <w:r>
        <w:tab/>
      </w:r>
      <w:r>
        <w:t xml:space="preserve">Group-level uncertainty</w:t>
      </w:r>
    </w:p>
    <w:p>
      <w:pPr>
        <w:pStyle w:val="FirstParagraph"/>
      </w:pPr>
      <w:r>
        <w:t xml:space="preserve">A grouped validation estimate is an average over a limited number</w:t>
      </w:r>
      <w:r>
        <w:t xml:space="preserve"> </w:t>
      </w:r>
      <m:oMath>
        <m:r>
          <m:t>G</m:t>
        </m:r>
      </m:oMath>
      <w:r>
        <w:t xml:space="preserve"> </w:t>
      </w:r>
      <w:r>
        <w:t xml:space="preserve">of independent units. If</w:t>
      </w:r>
      <w:r>
        <w:t xml:space="preserve"> </w:t>
      </w:r>
      <m:oMath>
        <m:sSub>
          <m:e>
            <m:acc>
              <m:accPr>
                <m:chr m:val="‾"/>
              </m:accPr>
              <m:e>
                <m:r>
                  <m:t>ℓ</m:t>
                </m:r>
              </m:e>
            </m:acc>
          </m:e>
          <m:sub>
            <m:r>
              <m:t>i</m:t>
            </m:r>
          </m:sub>
        </m:sSub>
      </m:oMath>
      <w:r>
        <w:t xml:space="preserve"> </w:t>
      </w:r>
      <w:r>
        <w:t xml:space="preserve">denotes the mean loss of group</w:t>
      </w:r>
      <w:r>
        <w:t xml:space="preserve"> </w:t>
      </w:r>
      <m:oMath>
        <m:r>
          <m:t>i</m:t>
        </m:r>
      </m:oMath>
      <w:r>
        <w:t xml:space="preserve"> </w:t>
      </w:r>
      <w:r>
        <w:t xml:space="preserve">and</w:t>
      </w:r>
      <w:r>
        <w:t xml:space="preserve"> </w:t>
      </w:r>
      <m:oMath>
        <m:sSubSup>
          <m:e>
            <m:r>
              <m:t>s</m:t>
            </m:r>
          </m:e>
          <m:sub>
            <m:r>
              <m:t>G</m:t>
            </m:r>
          </m:sub>
          <m:sup>
            <m:r>
              <m:t>2</m:t>
            </m:r>
          </m:sup>
        </m:sSubSup>
      </m:oMath>
      <w:r>
        <w:t xml:space="preserve"> </w:t>
      </w:r>
      <w:r>
        <w:t xml:space="preserve">is its variance across groups, the standard error of the group-held-out risk is approximately</w:t>
      </w:r>
    </w:p>
    <w:p>
      <w:pPr>
        <w:pStyle w:val="BodyText"/>
      </w:pPr>
      <m:oMathPara>
        <m:oMathParaPr>
          <m:jc m:val="center"/>
        </m:oMathParaPr>
        <m:oMath>
          <m:r>
            <m:rPr>
              <m:sty m:val="p"/>
            </m:rPr>
            <m:t>SE</m:t>
          </m:r>
          <m:r>
            <m:rPr>
              <m:sty m:val="p"/>
            </m:rPr>
            <m:t>(</m:t>
          </m:r>
          <m:sSub>
            <m:e>
              <m:acc>
                <m:accPr>
                  <m:chr m:val="̂"/>
                </m:accPr>
                <m:e>
                  <m:r>
                    <m:t>R</m:t>
                  </m:r>
                </m:e>
              </m:acc>
            </m:e>
            <m:sub>
              <m:r>
                <m:rPr>
                  <m:sty m:val="p"/>
                </m:rPr>
                <m:t>g</m:t>
              </m:r>
              <m:r>
                <m:rPr>
                  <m:sty m:val="p"/>
                </m:rPr>
                <m:t>r</m:t>
              </m:r>
              <m:r>
                <m:rPr>
                  <m:sty m:val="p"/>
                </m:rPr>
                <m:t>p</m:t>
              </m:r>
            </m:sub>
          </m:sSub>
          <m:r>
            <m:rPr>
              <m:sty m:val="p"/>
            </m:rPr>
            <m:t>)</m:t>
          </m:r>
          <m:r>
            <m:rPr>
              <m:sty m:val="p"/>
            </m:rPr>
            <m:t>≈</m:t>
          </m:r>
          <m:f>
            <m:fPr>
              <m:type m:val="bar"/>
            </m:fPr>
            <m:num>
              <m:sSub>
                <m:e>
                  <m:r>
                    <m:t>s</m:t>
                  </m:r>
                </m:e>
                <m:sub>
                  <m:r>
                    <m:t>G</m:t>
                  </m:r>
                </m:sub>
              </m:sSub>
            </m:num>
            <m:den>
              <m:rad>
                <m:radPr>
                  <m:degHide m:val="on"/>
                </m:radPr>
                <m:deg/>
                <m:e>
                  <m:r>
                    <m:t>G</m:t>
                  </m:r>
                </m:e>
              </m:rad>
            </m:den>
          </m:f>
          <m:r>
            <m:rPr>
              <m:sty m:val="p"/>
            </m:rPr>
            <m:t>,</m:t>
          </m:r>
          <m:r>
            <m:t>  </m:t>
          </m:r>
          <m:r>
            <m:t>  </m:t>
          </m:r>
          <m:r>
            <m:rPr>
              <m:sty m:val="p"/>
            </m:rPr>
            <m:t>(</m:t>
          </m:r>
          <m:r>
            <m:t>13</m:t>
          </m:r>
          <m:r>
            <m:rPr>
              <m:sty m:val="p"/>
            </m:rPr>
            <m:t>)</m:t>
          </m:r>
        </m:oMath>
      </m:oMathPara>
    </w:p>
    <w:p>
      <w:pPr>
        <w:pStyle w:val="FirstParagraph"/>
      </w:pPr>
      <w:r>
        <w:t xml:space="preserve">and a</w:t>
      </w:r>
      <w:r>
        <w:t xml:space="preserve"> </w:t>
      </w:r>
      <m:oMath>
        <m:r>
          <m:t>95</m:t>
        </m:r>
        <m:r>
          <m:rPr>
            <m:sty m:val="p"/>
          </m:rPr>
          <m:t>%</m:t>
        </m:r>
      </m:oMath>
      <w:r>
        <w:t xml:space="preserve"> </w:t>
      </w:r>
      <w:r>
        <w:t xml:space="preserve">interval for the mean has relative half-width</w:t>
      </w:r>
      <w:r>
        <w:t xml:space="preserve"> </w:t>
      </w:r>
      <m:oMath>
        <m:sSub>
          <m:e>
            <m:r>
              <m:t>t</m:t>
            </m:r>
          </m:e>
          <m:sub>
            <m:r>
              <m:t>G</m:t>
            </m:r>
            <m:r>
              <m:rPr>
                <m:sty m:val="p"/>
              </m:rPr>
              <m:t>−</m:t>
            </m:r>
            <m:r>
              <m:t>1</m:t>
            </m:r>
            <m:r>
              <m:rPr>
                <m:sty m:val="p"/>
              </m:rPr>
              <m:t>,</m:t>
            </m:r>
            <m:r>
              <m:t>0.975</m:t>
            </m:r>
          </m:sub>
        </m:sSub>
        <m:r>
          <m:t> </m:t>
        </m:r>
        <m:sSub>
          <m:e>
            <m:r>
              <m:rPr>
                <m:sty m:val="p"/>
              </m:rPr>
              <m:t>C</m:t>
            </m:r>
            <m:r>
              <m:rPr>
                <m:sty m:val="p"/>
              </m:rPr>
              <m:t>V</m:t>
            </m:r>
          </m:e>
          <m:sub>
            <m:r>
              <m:t>G</m:t>
            </m:r>
          </m:sub>
        </m:sSub>
        <m:r>
          <m:rPr>
            <m:sty m:val="p"/>
          </m:rPr>
          <m:t>/</m:t>
        </m:r>
        <m:rad>
          <m:radPr>
            <m:degHide m:val="on"/>
          </m:radPr>
          <m:deg/>
          <m:e>
            <m:r>
              <m:t>G</m:t>
            </m:r>
          </m:e>
        </m:rad>
      </m:oMath>
      <w:r>
        <w:t xml:space="preserve">, where</w:t>
      </w:r>
      <w:r>
        <w:t xml:space="preserve"> </w:t>
      </w:r>
      <m:oMath>
        <m:sSub>
          <m:e>
            <m:r>
              <m:rPr>
                <m:sty m:val="p"/>
              </m:rPr>
              <m:t>C</m:t>
            </m:r>
            <m:r>
              <m:rPr>
                <m:sty m:val="p"/>
              </m:rPr>
              <m:t>V</m:t>
            </m:r>
          </m:e>
          <m:sub>
            <m:r>
              <m:t>G</m:t>
            </m:r>
          </m:sub>
        </m:sSub>
        <m:r>
          <m:rPr>
            <m:sty m:val="p"/>
          </m:rPr>
          <m:t>=</m:t>
        </m:r>
        <m:sSub>
          <m:e>
            <m:r>
              <m:t>s</m:t>
            </m:r>
          </m:e>
          <m:sub>
            <m:r>
              <m:t>G</m:t>
            </m:r>
          </m:sub>
        </m:sSub>
        <m:r>
          <m:rPr>
            <m:sty m:val="p"/>
          </m:rPr>
          <m:t>/</m:t>
        </m:r>
        <m:acc>
          <m:accPr>
            <m:chr m:val="‾"/>
          </m:accPr>
          <m:e>
            <m:r>
              <m:t>ℓ</m:t>
            </m:r>
          </m:e>
        </m:acc>
      </m:oMath>
      <w:r>
        <w:t xml:space="preserve">. For</w:t>
      </w:r>
      <w:r>
        <w:t xml:space="preserve"> </w:t>
      </w:r>
      <m:oMath>
        <m:r>
          <m:t>G</m:t>
        </m:r>
        <m:r>
          <m:rPr>
            <m:sty m:val="p"/>
          </m:rPr>
          <m:t>=</m:t>
        </m:r>
        <m:r>
          <m:t>12</m:t>
        </m:r>
      </m:oMath>
      <w:r>
        <w:t xml:space="preserve"> </w:t>
      </w:r>
      <w:r>
        <w:t xml:space="preserve">the multiplier</w:t>
      </w:r>
      <w:r>
        <w:t xml:space="preserve"> </w:t>
      </w:r>
      <m:oMath>
        <m:sSub>
          <m:e>
            <m:r>
              <m:t>t</m:t>
            </m:r>
          </m:e>
          <m:sub>
            <m:r>
              <m:t>11</m:t>
            </m:r>
            <m:r>
              <m:rPr>
                <m:sty m:val="p"/>
              </m:rPr>
              <m:t>,</m:t>
            </m:r>
            <m:r>
              <m:t>0.975</m:t>
            </m:r>
          </m:sub>
        </m:sSub>
        <m:r>
          <m:rPr>
            <m:sty m:val="p"/>
          </m:rPr>
          <m:t>/</m:t>
        </m:r>
        <m:rad>
          <m:radPr>
            <m:degHide m:val="on"/>
          </m:radPr>
          <m:deg/>
          <m:e>
            <m:r>
              <m:t>12</m:t>
            </m:r>
          </m:e>
        </m:rad>
        <m:r>
          <m:rPr>
            <m:sty m:val="p"/>
          </m:rPr>
          <m:t>=</m:t>
        </m:r>
        <m:r>
          <m:t>0.64</m:t>
        </m:r>
      </m:oMath>
      <w:r>
        <w:t xml:space="preserve"> </w:t>
      </w:r>
      <w:r>
        <w:t xml:space="preserve">is large, for</w:t>
      </w:r>
      <w:r>
        <w:t xml:space="preserve"> </w:t>
      </w:r>
      <m:oMath>
        <m:r>
          <m:t>G</m:t>
        </m:r>
        <m:r>
          <m:rPr>
            <m:sty m:val="p"/>
          </m:rPr>
          <m:t>=</m:t>
        </m:r>
        <m:r>
          <m:t>42</m:t>
        </m:r>
      </m:oMath>
      <w:r>
        <w:t xml:space="preserve"> </w:t>
      </w:r>
      <w:r>
        <w:t xml:space="preserve">it is</w:t>
      </w:r>
      <w:r>
        <w:t xml:space="preserve"> </w:t>
      </w:r>
      <m:oMath>
        <m:r>
          <m:t>0.31</m:t>
        </m:r>
      </m:oMath>
      <w:r>
        <w:t xml:space="preserve"> </w:t>
      </w:r>
      <w:r>
        <w:t xml:space="preserve">and for</w:t>
      </w:r>
      <w:r>
        <w:t xml:space="preserve"> </w:t>
      </w:r>
      <m:oMath>
        <m:r>
          <m:t>G</m:t>
        </m:r>
        <m:r>
          <m:rPr>
            <m:sty m:val="p"/>
          </m:rPr>
          <m:t>=</m:t>
        </m:r>
        <m:r>
          <m:t>427</m:t>
        </m:r>
      </m:oMath>
      <w:r>
        <w:t xml:space="preserve"> </w:t>
      </w:r>
      <w:r>
        <w:t xml:space="preserve">it is</w:t>
      </w:r>
      <w:r>
        <w:t xml:space="preserve"> </w:t>
      </w:r>
      <m:oMath>
        <m:r>
          <m:t>0.095</m:t>
        </m:r>
      </m:oMath>
      <w:r>
        <w:t xml:space="preserve">. The information content of</w:t>
      </w:r>
      <w:r>
        <w:t xml:space="preserve"> </w:t>
      </w:r>
      <m:oMath>
        <m:r>
          <m:t>N</m:t>
        </m:r>
      </m:oMath>
      <w:r>
        <w:t xml:space="preserve"> </w:t>
      </w:r>
      <w:r>
        <w:t xml:space="preserve">clustered rows is correspondingly smaller than</w:t>
      </w:r>
      <w:r>
        <w:t xml:space="preserve"> </w:t>
      </w:r>
      <m:oMath>
        <m:r>
          <m:t>N</m:t>
        </m:r>
      </m:oMath>
      <w:r>
        <w:t xml:space="preserve">: with average group size</w:t>
      </w:r>
      <w:r>
        <w:t xml:space="preserve"> </w:t>
      </w:r>
      <m:oMath>
        <m:acc>
          <m:accPr>
            <m:chr m:val="‾"/>
          </m:accPr>
          <m:e>
            <m:r>
              <m:t>m</m:t>
            </m:r>
          </m:e>
        </m:acc>
      </m:oMath>
      <w:r>
        <w:t xml:space="preserve"> </w:t>
      </w:r>
      <w:r>
        <w:t xml:space="preserve">and ICC</w:t>
      </w:r>
      <w:r>
        <w:t xml:space="preserve"> </w:t>
      </w:r>
      <m:oMath>
        <m:sSub>
          <m:e>
            <m:r>
              <m:t>𝜚</m:t>
            </m:r>
          </m:e>
          <m:sub>
            <m:r>
              <m:t>ℓ</m:t>
            </m:r>
          </m:sub>
        </m:sSub>
      </m:oMath>
      <w:r>
        <w:t xml:space="preserve"> </w:t>
      </w:r>
      <w:r>
        <w:t xml:space="preserve">of the loss, the effective sample size is</w:t>
      </w:r>
    </w:p>
    <w:p>
      <w:pPr>
        <w:pStyle w:val="BodyText"/>
      </w:pPr>
      <m:oMathPara>
        <m:oMathParaPr>
          <m:jc m:val="center"/>
        </m:oMathParaPr>
        <m:oMath>
          <m:sSub>
            <m:e>
              <m:r>
                <m:t>n</m:t>
              </m:r>
            </m:e>
            <m:sub>
              <m:r>
                <m:rPr>
                  <m:sty m:val="p"/>
                </m:rPr>
                <m:t>e</m:t>
              </m:r>
              <m:r>
                <m:rPr>
                  <m:sty m:val="p"/>
                </m:rPr>
                <m:t>f</m:t>
              </m:r>
              <m:r>
                <m:rPr>
                  <m:sty m:val="p"/>
                </m:rPr>
                <m:t>f</m:t>
              </m:r>
            </m:sub>
          </m:sSub>
          <m:r>
            <m:rPr>
              <m:sty m:val="p"/>
            </m:rPr>
            <m:t>=</m:t>
          </m:r>
          <m:f>
            <m:fPr>
              <m:type m:val="bar"/>
            </m:fPr>
            <m:num>
              <m:r>
                <m:t>N</m:t>
              </m:r>
            </m:num>
            <m:den>
              <m:r>
                <m:t>1</m:t>
              </m:r>
              <m:r>
                <m:rPr>
                  <m:sty m:val="p"/>
                </m:rPr>
                <m:t>+</m:t>
              </m:r>
              <m:r>
                <m:rPr>
                  <m:sty m:val="p"/>
                </m:rPr>
                <m:t>(</m:t>
              </m:r>
              <m:acc>
                <m:accPr>
                  <m:chr m:val="‾"/>
                </m:accPr>
                <m:e>
                  <m:r>
                    <m:t>m</m:t>
                  </m:r>
                </m:e>
              </m:acc>
              <m:r>
                <m:rPr>
                  <m:sty m:val="p"/>
                </m:rPr>
                <m:t>−</m:t>
              </m:r>
              <m:r>
                <m:t>1</m:t>
              </m:r>
              <m:r>
                <m:rPr>
                  <m:sty m:val="p"/>
                </m:rPr>
                <m:t>)</m:t>
              </m:r>
              <m:sSub>
                <m:e>
                  <m:r>
                    <m:t>𝜚</m:t>
                  </m:r>
                </m:e>
                <m:sub>
                  <m:r>
                    <m:t>ℓ</m:t>
                  </m:r>
                </m:sub>
              </m:sSub>
            </m:den>
          </m:f>
          <m:r>
            <m:rPr>
              <m:sty m:val="p"/>
            </m:rPr>
            <m:t>,</m:t>
          </m:r>
          <m:r>
            <m:t>  </m:t>
          </m:r>
          <m:r>
            <m:t>  </m:t>
          </m:r>
          <m:r>
            <m:rPr>
              <m:sty m:val="p"/>
            </m:rPr>
            <m:t>(</m:t>
          </m:r>
          <m:r>
            <m:t>14</m:t>
          </m:r>
          <m:r>
            <m:rPr>
              <m:sty m:val="p"/>
            </m:rPr>
            <m:t>)</m:t>
          </m:r>
        </m:oMath>
      </m:oMathPara>
    </w:p>
    <w:p>
      <w:pPr>
        <w:pStyle w:val="FirstParagraph"/>
      </w:pPr>
      <w:r>
        <w:t xml:space="preserve">the design effect of Kish [34]. For</w:t>
      </w:r>
      <w:r>
        <w:t xml:space="preserve"> </w:t>
      </w:r>
      <m:oMath>
        <m:acc>
          <m:accPr>
            <m:chr m:val="‾"/>
          </m:accPr>
          <m:e>
            <m:r>
              <m:t>m</m:t>
            </m:r>
          </m:e>
        </m:acc>
        <m:r>
          <m:rPr>
            <m:sty m:val="p"/>
          </m:rPr>
          <m:t>=</m:t>
        </m:r>
        <m:r>
          <m:t>64</m:t>
        </m:r>
      </m:oMath>
      <w:r>
        <w:t xml:space="preserve"> </w:t>
      </w:r>
      <w:r>
        <w:t xml:space="preserve">and even a modest</w:t>
      </w:r>
      <w:r>
        <w:t xml:space="preserve"> </w:t>
      </w:r>
      <m:oMath>
        <m:sSub>
          <m:e>
            <m:r>
              <m:t>𝜚</m:t>
            </m:r>
          </m:e>
          <m:sub>
            <m:r>
              <m:t>ℓ</m:t>
            </m:r>
          </m:sub>
        </m:sSub>
        <m:r>
          <m:rPr>
            <m:sty m:val="p"/>
          </m:rPr>
          <m:t>=</m:t>
        </m:r>
        <m:r>
          <m:t>0.1</m:t>
        </m:r>
      </m:oMath>
      <w:r>
        <w:t xml:space="preserve"> </w:t>
      </w:r>
      <w:r>
        <w:t xml:space="preserve">the effective sample size is</w:t>
      </w:r>
      <w:r>
        <w:t xml:space="preserve"> </w:t>
      </w:r>
      <m:oMath>
        <m:r>
          <m:t>N</m:t>
        </m:r>
        <m:r>
          <m:rPr>
            <m:sty m:val="p"/>
          </m:rPr>
          <m:t>/</m:t>
        </m:r>
        <m:r>
          <m:t>7.3</m:t>
        </m:r>
        <m:r>
          <m:rPr>
            <m:sty m:val="p"/>
          </m:rPr>
          <m:t>≈</m:t>
        </m:r>
        <m:r>
          <m:t>105</m:t>
        </m:r>
      </m:oMath>
      <w:r>
        <w:t xml:space="preserve"> </w:t>
      </w:r>
      <w:r>
        <w:t xml:space="preserve">rather than 768. Random-split intervals that treat all rows or folds as independent therefore understate uncertainty about performance on new groups, and differences between models that look clear under random splitting may be unresolved under grouped splitting. We bootstrap over groups (or over folds, which are group-pure in the grouped protocol) to respect this dependence [35].</w:t>
      </w:r>
    </w:p>
    <w:bookmarkEnd w:id="28"/>
    <w:bookmarkStart w:id="29" w:name="tuning-leakage"/>
    <w:p>
      <w:pPr>
        <w:pStyle w:val="Heading2"/>
      </w:pPr>
      <w:r>
        <w:rPr>
          <w:rStyle w:val="SectionNumber"/>
        </w:rPr>
        <w:t xml:space="preserve">3.5</w:t>
      </w:r>
      <w:r>
        <w:tab/>
      </w:r>
      <w:r>
        <w:t xml:space="preserve">Tuning leakage</w:t>
      </w:r>
    </w:p>
    <w:p>
      <w:pPr>
        <w:pStyle w:val="FirstParagraph"/>
      </w:pPr>
      <w:r>
        <w:t xml:space="preserve">Hyper-parameters are chosen by minimising an inner cross-validation error. Let</w:t>
      </w:r>
      <w:r>
        <w:t xml:space="preserve"> </w:t>
      </w:r>
      <m:oMath>
        <m:r>
          <m:t>λ</m:t>
        </m:r>
      </m:oMath>
      <w:r>
        <w:t xml:space="preserve"> </w:t>
      </w:r>
      <w:r>
        <w:t xml:space="preserve">index model capacity (for instance the number of neighbours</w:t>
      </w:r>
      <w:r>
        <w:t xml:space="preserve"> </w:t>
      </w:r>
      <m:oMath>
        <m:r>
          <m:t>k</m:t>
        </m:r>
      </m:oMath>
      <w:r>
        <w:t xml:space="preserve"> </w:t>
      </w:r>
      <w:r>
        <w:t xml:space="preserve">or the inverse kernel width</w:t>
      </w:r>
      <w:r>
        <w:t xml:space="preserve"> </w:t>
      </w:r>
      <m:oMath>
        <m:r>
          <m:t>γ</m:t>
        </m:r>
      </m:oMath>
      <w:r>
        <w:t xml:space="preserve">),</w:t>
      </w:r>
      <w:r>
        <w:t xml:space="preserve"> </w:t>
      </w:r>
      <m:oMath>
        <m:sSub>
          <m:e>
            <m:acc>
              <m:accPr>
                <m:chr m:val="̂"/>
              </m:accPr>
              <m:e>
                <m:r>
                  <m:t>λ</m:t>
                </m:r>
              </m:e>
            </m:acc>
          </m:e>
          <m:sub>
            <m:r>
              <m:rPr>
                <m:sty m:val="p"/>
              </m:rPr>
              <m:t>r</m:t>
            </m:r>
            <m:r>
              <m:rPr>
                <m:sty m:val="p"/>
              </m:rPr>
              <m:t>a</m:t>
            </m:r>
            <m:r>
              <m:rPr>
                <m:sty m:val="p"/>
              </m:rPr>
              <m:t>n</m:t>
            </m:r>
            <m:r>
              <m:rPr>
                <m:sty m:val="p"/>
              </m:rPr>
              <m:t>d</m:t>
            </m:r>
          </m:sub>
        </m:sSub>
        <m:r>
          <m:rPr>
            <m:sty m:val="p"/>
          </m:rPr>
          <m:t>=</m:t>
        </m:r>
        <m:r>
          <m:rPr>
            <m:sty m:val="p"/>
          </m:rPr>
          <m:t>arg</m:t>
        </m:r>
        <m:sSub>
          <m:e>
            <m:r>
              <m:rPr>
                <m:sty m:val="p"/>
              </m:rPr>
              <m:t>min</m:t>
            </m:r>
          </m:e>
          <m:sub>
            <m:r>
              <m:t>λ</m:t>
            </m:r>
          </m:sub>
        </m:sSub>
        <m:sSubSup>
          <m:e>
            <m:acc>
              <m:accPr>
                <m:chr m:val="̂"/>
              </m:accPr>
              <m:e>
                <m:r>
                  <m:t>R</m:t>
                </m:r>
              </m:e>
            </m:acc>
          </m:e>
          <m:sub>
            <m:r>
              <m:rPr>
                <m:sty m:val="p"/>
              </m:rPr>
              <m:t>r</m:t>
            </m:r>
            <m:r>
              <m:rPr>
                <m:sty m:val="p"/>
              </m:rPr>
              <m:t>a</m:t>
            </m:r>
            <m:r>
              <m:rPr>
                <m:sty m:val="p"/>
              </m:rPr>
              <m:t>n</m:t>
            </m:r>
            <m:r>
              <m:rPr>
                <m:sty m:val="p"/>
              </m:rPr>
              <m:t>d</m:t>
            </m:r>
          </m:sub>
          <m:sup>
            <m:r>
              <m:rPr>
                <m:sty m:val="p"/>
              </m:rPr>
              <m:t>i</m:t>
            </m:r>
            <m:r>
              <m:rPr>
                <m:sty m:val="p"/>
              </m:rPr>
              <m:t>n</m:t>
            </m:r>
            <m:r>
              <m:rPr>
                <m:sty m:val="p"/>
              </m:rPr>
              <m:t>n</m:t>
            </m:r>
            <m:r>
              <m:rPr>
                <m:sty m:val="p"/>
              </m:rPr>
              <m:t>e</m:t>
            </m:r>
            <m:r>
              <m:rPr>
                <m:sty m:val="p"/>
              </m:rPr>
              <m:t>r</m:t>
            </m:r>
          </m:sup>
        </m:sSubSup>
        <m:r>
          <m:rPr>
            <m:sty m:val="p"/>
          </m:rPr>
          <m:t>(</m:t>
        </m:r>
        <m:r>
          <m:t>λ</m:t>
        </m:r>
        <m:r>
          <m:rPr>
            <m:sty m:val="p"/>
          </m:rPr>
          <m:t>)</m:t>
        </m:r>
      </m:oMath>
      <w:r>
        <w:t xml:space="preserve"> </w:t>
      </w:r>
      <w:r>
        <w:t xml:space="preserve">be the selection with random inner folds and</w:t>
      </w:r>
      <w:r>
        <w:t xml:space="preserve"> </w:t>
      </w:r>
      <m:oMath>
        <m:sSub>
          <m:e>
            <m:acc>
              <m:accPr>
                <m:chr m:val="̂"/>
              </m:accPr>
              <m:e>
                <m:r>
                  <m:t>λ</m:t>
                </m:r>
              </m:e>
            </m:acc>
          </m:e>
          <m:sub>
            <m:r>
              <m:rPr>
                <m:sty m:val="p"/>
              </m:rPr>
              <m:t>g</m:t>
            </m:r>
            <m:r>
              <m:rPr>
                <m:sty m:val="p"/>
              </m:rPr>
              <m:t>r</m:t>
            </m:r>
            <m:r>
              <m:rPr>
                <m:sty m:val="p"/>
              </m:rPr>
              <m:t>p</m:t>
            </m:r>
          </m:sub>
        </m:sSub>
      </m:oMath>
      <w:r>
        <w:t xml:space="preserve"> </w:t>
      </w:r>
      <w:r>
        <w:t xml:space="preserve">the selection with group-pure inner folds. The</w:t>
      </w:r>
      <w:r>
        <w:t xml:space="preserve"> </w:t>
      </w:r>
      <w:r>
        <w:rPr>
          <w:i/>
          <w:iCs/>
        </w:rPr>
        <w:t xml:space="preserve">tuning regret</w:t>
      </w:r>
      <w:r>
        <w:t xml:space="preserve"> </w:t>
      </w:r>
      <w:r>
        <w:t xml:space="preserve">is</w:t>
      </w:r>
    </w:p>
    <w:p>
      <w:pPr>
        <w:pStyle w:val="BodyText"/>
      </w:pPr>
      <m:oMathPara>
        <m:oMathParaPr>
          <m:jc m:val="center"/>
        </m:oMathParaPr>
        <m:oMath>
          <m:sSub>
            <m:e>
              <m:r>
                <m:rPr>
                  <m:sty m:val="p"/>
                </m:rPr>
                <m:t>Δ</m:t>
              </m:r>
            </m:e>
            <m:sub>
              <m:r>
                <m:rPr>
                  <m:sty m:val="p"/>
                </m:rPr>
                <m:t>t</m:t>
              </m:r>
              <m:r>
                <m:rPr>
                  <m:sty m:val="p"/>
                </m:rPr>
                <m:t>u</m:t>
              </m:r>
              <m:r>
                <m:rPr>
                  <m:sty m:val="p"/>
                </m:rPr>
                <m:t>n</m:t>
              </m:r>
              <m:r>
                <m:rPr>
                  <m:sty m:val="p"/>
                </m:rPr>
                <m:t>e</m:t>
              </m:r>
            </m:sub>
          </m:sSub>
          <m:r>
            <m:rPr>
              <m:sty m:val="p"/>
            </m:rPr>
            <m:t>=</m:t>
          </m:r>
          <m:sSub>
            <m:e>
              <m:r>
                <m:t>R</m:t>
              </m:r>
            </m:e>
            <m:sub>
              <m:r>
                <m:rPr>
                  <m:sty m:val="p"/>
                </m:rPr>
                <m:t>g</m:t>
              </m:r>
              <m:r>
                <m:rPr>
                  <m:sty m:val="p"/>
                </m:rPr>
                <m:t>r</m:t>
              </m:r>
              <m:r>
                <m:rPr>
                  <m:sty m:val="p"/>
                </m:rPr>
                <m:t>p</m:t>
              </m:r>
            </m:sub>
          </m:sSub>
          <m:r>
            <m:rPr>
              <m:sty m:val="p"/>
            </m:rPr>
            <m:t>(</m:t>
          </m:r>
          <m:sSub>
            <m:e>
              <m:acc>
                <m:accPr>
                  <m:chr m:val="̂"/>
                </m:accPr>
                <m:e>
                  <m:r>
                    <m:t>λ</m:t>
                  </m:r>
                </m:e>
              </m:acc>
            </m:e>
            <m:sub>
              <m:r>
                <m:rPr>
                  <m:sty m:val="p"/>
                </m:rPr>
                <m:t>r</m:t>
              </m:r>
              <m:r>
                <m:rPr>
                  <m:sty m:val="p"/>
                </m:rPr>
                <m:t>a</m:t>
              </m:r>
              <m:r>
                <m:rPr>
                  <m:sty m:val="p"/>
                </m:rPr>
                <m:t>n</m:t>
              </m:r>
              <m:r>
                <m:rPr>
                  <m:sty m:val="p"/>
                </m:rPr>
                <m:t>d</m:t>
              </m:r>
            </m:sub>
          </m:sSub>
          <m:r>
            <m:rPr>
              <m:sty m:val="p"/>
            </m:rPr>
            <m:t>)</m:t>
          </m:r>
          <m:r>
            <m:rPr>
              <m:sty m:val="p"/>
            </m:rPr>
            <m:t>−</m:t>
          </m:r>
          <m:sSub>
            <m:e>
              <m:r>
                <m:t>R</m:t>
              </m:r>
            </m:e>
            <m:sub>
              <m:r>
                <m:rPr>
                  <m:sty m:val="p"/>
                </m:rPr>
                <m:t>g</m:t>
              </m:r>
              <m:r>
                <m:rPr>
                  <m:sty m:val="p"/>
                </m:rPr>
                <m:t>r</m:t>
              </m:r>
              <m:r>
                <m:rPr>
                  <m:sty m:val="p"/>
                </m:rPr>
                <m:t>p</m:t>
              </m:r>
            </m:sub>
          </m:sSub>
          <m:r>
            <m:rPr>
              <m:sty m:val="p"/>
            </m:rPr>
            <m:t>(</m:t>
          </m:r>
          <m:sSub>
            <m:e>
              <m:acc>
                <m:accPr>
                  <m:chr m:val="̂"/>
                </m:accPr>
                <m:e>
                  <m:r>
                    <m:t>λ</m:t>
                  </m:r>
                </m:e>
              </m:acc>
            </m:e>
            <m:sub>
              <m:r>
                <m:rPr>
                  <m:sty m:val="p"/>
                </m:rPr>
                <m:t>g</m:t>
              </m:r>
              <m:r>
                <m:rPr>
                  <m:sty m:val="p"/>
                </m:rPr>
                <m:t>r</m:t>
              </m:r>
              <m:r>
                <m:rPr>
                  <m:sty m:val="p"/>
                </m:rPr>
                <m:t>p</m:t>
              </m:r>
            </m:sub>
          </m:sSub>
          <m:r>
            <m:rPr>
              <m:sty m:val="p"/>
            </m:rPr>
            <m:t>)</m:t>
          </m:r>
          <m:r>
            <m:t> </m:t>
          </m:r>
          <m:r>
            <m:rPr>
              <m:sty m:val="p"/>
            </m:rPr>
            <m:t>≥</m:t>
          </m:r>
          <m:r>
            <m:t> </m:t>
          </m:r>
          <m:r>
            <m:t>0</m:t>
          </m:r>
          <m:r>
            <m:rPr>
              <m:sty m:val="p"/>
            </m:rPr>
            <m:t>.</m:t>
          </m:r>
          <m:r>
            <m:t>  </m:t>
          </m:r>
          <m:r>
            <m:t>  </m:t>
          </m:r>
          <m:r>
            <m:rPr>
              <m:sty m:val="p"/>
            </m:rPr>
            <m:t>(</m:t>
          </m:r>
          <m:r>
            <m:t>15</m:t>
          </m:r>
          <m:r>
            <m:rPr>
              <m:sty m:val="p"/>
            </m:rPr>
            <m:t>)</m:t>
          </m:r>
        </m:oMath>
      </m:oMathPara>
    </w:p>
    <w:p>
      <w:pPr>
        <w:pStyle w:val="FirstParagraph"/>
      </w:pPr>
      <w:r>
        <w:t xml:space="preserve">The mechanism is easiest to see for</w:t>
      </w:r>
      <w:r>
        <w:t xml:space="preserve"> </w:t>
      </w:r>
      <m:oMath>
        <m:r>
          <m:t>k</m:t>
        </m:r>
      </m:oMath>
      <w:r>
        <w:t xml:space="preserve">-nearest-neighbour regression under Eq. (1) with group-identifying features. With random inner folds, the</w:t>
      </w:r>
      <w:r>
        <w:t xml:space="preserve"> </w:t>
      </w:r>
      <m:oMath>
        <m:r>
          <m:t>k</m:t>
        </m:r>
      </m:oMath>
      <w:r>
        <w:t xml:space="preserve"> </w:t>
      </w:r>
      <w:r>
        <w:t xml:space="preserve">nearest neighbours of a validation row are rows of its own group as long as</w:t>
      </w:r>
      <w:r>
        <w:t xml:space="preserve"> </w:t>
      </w:r>
      <m:oMath>
        <m:r>
          <m:t>k</m:t>
        </m:r>
      </m:oMath>
      <w:r>
        <w:t xml:space="preserve"> </w:t>
      </w:r>
      <w:r>
        <w:t xml:space="preserve">does not exceed the group’s training size, so they share the offset</w:t>
      </w:r>
      <w:r>
        <w:t xml:space="preserve"> </w:t>
      </w:r>
      <m:oMath>
        <m:sSub>
          <m:e>
            <m:r>
              <m:t>u</m:t>
            </m:r>
          </m:e>
          <m:sub>
            <m:r>
              <m:t>i</m:t>
            </m:r>
          </m:sub>
        </m:sSub>
      </m:oMath>
      <w:r>
        <w:t xml:space="preserve">, which cancels in the prediction error, and the error is</w:t>
      </w:r>
      <w:r>
        <w:t xml:space="preserve"> </w:t>
      </w:r>
      <m:oMath>
        <m:sSubSup>
          <m:e>
            <m:r>
              <m:t>σ</m:t>
            </m:r>
          </m:e>
          <m:sub>
            <m:r>
              <m:t>ε</m:t>
            </m:r>
          </m:sub>
          <m:sup>
            <m:r>
              <m:t>2</m:t>
            </m:r>
          </m:sup>
        </m:sSubSup>
        <m:r>
          <m:rPr>
            <m:sty m:val="p"/>
          </m:rPr>
          <m:t>(</m:t>
        </m:r>
        <m:r>
          <m:t>1</m:t>
        </m:r>
        <m:r>
          <m:rPr>
            <m:sty m:val="p"/>
          </m:rPr>
          <m:t>+</m:t>
        </m:r>
        <m:r>
          <m:t>1</m:t>
        </m:r>
        <m:r>
          <m:rPr>
            <m:sty m:val="p"/>
          </m:rPr>
          <m:t>/</m:t>
        </m:r>
        <m:r>
          <m:t>k</m:t>
        </m:r>
        <m:r>
          <m:rPr>
            <m:sty m:val="p"/>
          </m:rPr>
          <m:t>)</m:t>
        </m:r>
      </m:oMath>
      <w:r>
        <w:t xml:space="preserve"> </w:t>
      </w:r>
      <w:r>
        <w:t xml:space="preserve">plus a bias that grows with the spread of</w:t>
      </w:r>
      <w:r>
        <w:t xml:space="preserve"> </w:t>
      </w:r>
      <m:oMath>
        <m:r>
          <m:t>f</m:t>
        </m:r>
      </m:oMath>
      <w:r>
        <w:t xml:space="preserve"> </w:t>
      </w:r>
      <w:r>
        <w:t xml:space="preserve">within the group. The criterion therefore favours the largest</w:t>
      </w:r>
      <w:r>
        <w:t xml:space="preserve"> </w:t>
      </w:r>
      <m:oMath>
        <m:r>
          <m:t>k</m:t>
        </m:r>
      </m:oMath>
      <w:r>
        <w:t xml:space="preserve"> </w:t>
      </w:r>
      <w:r>
        <w:t xml:space="preserve">that stays within a group. With group-pure inner folds, the neighbours belong to other groups, the offsets do not cancel, the error is of the form</w:t>
      </w:r>
      <w:r>
        <w:t xml:space="preserve"> </w:t>
      </w:r>
      <m:oMath>
        <m:sSubSup>
          <m:e>
            <m:r>
              <m:t>σ</m:t>
            </m:r>
          </m:e>
          <m:sub>
            <m:r>
              <m:t>u</m:t>
            </m:r>
          </m:sub>
          <m:sup>
            <m:r>
              <m:t>2</m:t>
            </m:r>
          </m:sup>
        </m:sSubSup>
        <m:r>
          <m:rPr>
            <m:sty m:val="p"/>
          </m:rPr>
          <m:t>(</m:t>
        </m:r>
        <m:r>
          <m:t>1</m:t>
        </m:r>
        <m:r>
          <m:rPr>
            <m:sty m:val="p"/>
          </m:rPr>
          <m:t>+</m:t>
        </m:r>
        <m:r>
          <m:t>1</m:t>
        </m:r>
        <m:r>
          <m:rPr>
            <m:sty m:val="p"/>
          </m:rPr>
          <m:t>/</m:t>
        </m:r>
        <m:sSub>
          <m:e>
            <m:r>
              <m:t>k</m:t>
            </m:r>
          </m:e>
          <m:sub>
            <m:r>
              <m:t>g</m:t>
            </m:r>
          </m:sub>
        </m:sSub>
        <m:r>
          <m:rPr>
            <m:sty m:val="p"/>
          </m:rPr>
          <m:t>)</m:t>
        </m:r>
        <m:r>
          <m:rPr>
            <m:sty m:val="p"/>
          </m:rPr>
          <m:t>+</m:t>
        </m:r>
        <m:sSubSup>
          <m:e>
            <m:r>
              <m:t>σ</m:t>
            </m:r>
          </m:e>
          <m:sub>
            <m:r>
              <m:t>ε</m:t>
            </m:r>
          </m:sub>
          <m:sup>
            <m:r>
              <m:t>2</m:t>
            </m:r>
          </m:sup>
        </m:sSubSup>
        <m:r>
          <m:rPr>
            <m:sty m:val="p"/>
          </m:rPr>
          <m:t>(</m:t>
        </m:r>
        <m:r>
          <m:t>1</m:t>
        </m:r>
        <m:r>
          <m:rPr>
            <m:sty m:val="p"/>
          </m:rPr>
          <m:t>+</m:t>
        </m:r>
        <m:r>
          <m:t>1</m:t>
        </m:r>
        <m:r>
          <m:rPr>
            <m:sty m:val="p"/>
          </m:rPr>
          <m:t>/</m:t>
        </m:r>
        <m:r>
          <m:t>k</m:t>
        </m:r>
        <m:r>
          <m:rPr>
            <m:sty m:val="p"/>
          </m:rPr>
          <m:t>)</m:t>
        </m:r>
      </m:oMath>
      <w:r>
        <w:t xml:space="preserve"> </w:t>
      </w:r>
      <w:r>
        <w:t xml:space="preserve">plus a bias that grows with the distance between groups, and the criterion favours values of</w:t>
      </w:r>
      <w:r>
        <w:t xml:space="preserve"> </w:t>
      </w:r>
      <m:oMath>
        <m:r>
          <m:t>k</m:t>
        </m:r>
      </m:oMath>
      <w:r>
        <w:t xml:space="preserve"> </w:t>
      </w:r>
      <w:r>
        <w:t xml:space="preserve">that average over several groups. In other words, random inner folds measure a capacity trade-off at the</w:t>
      </w:r>
      <w:r>
        <w:t xml:space="preserve"> </w:t>
      </w:r>
      <w:r>
        <w:rPr>
          <w:i/>
          <w:iCs/>
        </w:rPr>
        <w:t xml:space="preserve">within-group</w:t>
      </w:r>
      <w:r>
        <w:t xml:space="preserve"> </w:t>
      </w:r>
      <w:r>
        <w:t xml:space="preserve">scale and grouped inner folds at the</w:t>
      </w:r>
      <w:r>
        <w:t xml:space="preserve"> </w:t>
      </w:r>
      <w:r>
        <w:rPr>
          <w:i/>
          <w:iCs/>
        </w:rPr>
        <w:t xml:space="preserve">between-group</w:t>
      </w:r>
      <w:r>
        <w:t xml:space="preserve"> </w:t>
      </w:r>
      <w:r>
        <w:t xml:space="preserve">scale. For kernel methods the same logic implies that random inner folds prefer narrow kernels (large</w:t>
      </w:r>
      <w:r>
        <w:t xml:space="preserve"> </w:t>
      </w:r>
      <m:oMath>
        <m:r>
          <m:t>γ</m:t>
        </m:r>
      </m:oMath>
      <w:r>
        <w:t xml:space="preserve">) that resolve individual groups, which is the choice that generalises worst to new groups. Section 6.6 documents this empirically, including the full inner-error curves.</w:t>
      </w:r>
    </w:p>
    <w:p>
      <w:pPr>
        <w:pStyle w:val="BodyText"/>
      </w:pPr>
      <w:r>
        <w:t xml:space="preserve">Regret (15) is not a bias of the final estimate alone; it is a loss of actual predictive quality, because the deployed model uses</w:t>
      </w:r>
      <w:r>
        <w:t xml:space="preserve"> </w:t>
      </w:r>
      <m:oMath>
        <m:sSub>
          <m:e>
            <m:acc>
              <m:accPr>
                <m:chr m:val="̂"/>
              </m:accPr>
              <m:e>
                <m:r>
                  <m:t>λ</m:t>
                </m:r>
              </m:e>
            </m:acc>
          </m:e>
          <m:sub>
            <m:r>
              <m:rPr>
                <m:sty m:val="p"/>
              </m:rPr>
              <m:t>r</m:t>
            </m:r>
            <m:r>
              <m:rPr>
                <m:sty m:val="p"/>
              </m:rPr>
              <m:t>a</m:t>
            </m:r>
            <m:r>
              <m:rPr>
                <m:sty m:val="p"/>
              </m:rPr>
              <m:t>n</m:t>
            </m:r>
            <m:r>
              <m:rPr>
                <m:sty m:val="p"/>
              </m:rPr>
              <m:t>d</m:t>
            </m:r>
          </m:sub>
        </m:sSub>
      </m:oMath>
      <w:r>
        <w:t xml:space="preserve">. Using group-pure inner folds is therefore a modelling decision, not only an evaluation decision.</w:t>
      </w:r>
    </w:p>
    <w:bookmarkEnd w:id="29"/>
    <w:bookmarkStart w:id="30" w:name="skill-score"/>
    <w:p>
      <w:pPr>
        <w:pStyle w:val="Heading2"/>
      </w:pPr>
      <w:r>
        <w:rPr>
          <w:rStyle w:val="SectionNumber"/>
        </w:rPr>
        <w:t xml:space="preserve">3.6</w:t>
      </w:r>
      <w:r>
        <w:tab/>
      </w:r>
      <w:r>
        <w:t xml:space="preserve">Skill score</w:t>
      </w:r>
    </w:p>
    <w:p>
      <w:pPr>
        <w:pStyle w:val="FirstParagraph"/>
      </w:pPr>
      <w:r>
        <w:t xml:space="preserve">A group-held-out RMSE is hard to interpret without a reference. A natural no-skill reference is the training-mean predictor, which uses no features. Let</w:t>
      </w:r>
      <w:r>
        <w:t xml:space="preserve"> </w:t>
      </w:r>
      <m:oMath>
        <m:sSub>
          <m:e>
            <m:r>
              <m:rPr>
                <m:sty m:val="p"/>
              </m:rPr>
              <m:t>M</m:t>
            </m:r>
            <m:r>
              <m:rPr>
                <m:sty m:val="p"/>
              </m:rPr>
              <m:t>S</m:t>
            </m:r>
            <m:r>
              <m:rPr>
                <m:sty m:val="p"/>
              </m:rPr>
              <m:t>E</m:t>
            </m:r>
          </m:e>
          <m:sub>
            <m:r>
              <m:rPr>
                <m:sty m:val="p"/>
              </m:rPr>
              <m:t>m</m:t>
            </m:r>
            <m:r>
              <m:rPr>
                <m:sty m:val="p"/>
              </m:rPr>
              <m:t>e</m:t>
            </m:r>
            <m:r>
              <m:rPr>
                <m:sty m:val="p"/>
              </m:rPr>
              <m:t>a</m:t>
            </m:r>
            <m:r>
              <m:rPr>
                <m:sty m:val="p"/>
              </m:rPr>
              <m:t>n</m:t>
            </m:r>
          </m:sub>
        </m:sSub>
      </m:oMath>
      <w:r>
        <w:t xml:space="preserve"> </w:t>
      </w:r>
      <w:r>
        <w:t xml:space="preserve">be its error under the same split and define the skill score</w:t>
      </w:r>
    </w:p>
    <w:p>
      <w:pPr>
        <w:pStyle w:val="BodyText"/>
      </w:pPr>
      <m:oMathPara>
        <m:oMathParaPr>
          <m:jc m:val="center"/>
        </m:oMathParaPr>
        <m:oMath>
          <m:r>
            <m:t>S</m:t>
          </m:r>
          <m:r>
            <m:t>S</m:t>
          </m:r>
          <m:r>
            <m:rPr>
              <m:sty m:val="p"/>
            </m:rPr>
            <m:t>=</m:t>
          </m:r>
          <m:r>
            <m:t>1</m:t>
          </m:r>
          <m:r>
            <m:rPr>
              <m:sty m:val="p"/>
            </m:rPr>
            <m:t>−</m:t>
          </m:r>
          <m:f>
            <m:fPr>
              <m:type m:val="bar"/>
            </m:fPr>
            <m:num>
              <m:sSub>
                <m:e>
                  <m:r>
                    <m:rPr>
                      <m:sty m:val="p"/>
                    </m:rPr>
                    <m:t>M</m:t>
                  </m:r>
                  <m:r>
                    <m:rPr>
                      <m:sty m:val="p"/>
                    </m:rPr>
                    <m:t>S</m:t>
                  </m:r>
                  <m:r>
                    <m:rPr>
                      <m:sty m:val="p"/>
                    </m:rPr>
                    <m:t>E</m:t>
                  </m:r>
                </m:e>
                <m:sub>
                  <m:r>
                    <m:rPr>
                      <m:sty m:val="p"/>
                    </m:rPr>
                    <m:t>m</m:t>
                  </m:r>
                  <m:r>
                    <m:rPr>
                      <m:sty m:val="p"/>
                    </m:rPr>
                    <m:t>o</m:t>
                  </m:r>
                  <m:r>
                    <m:rPr>
                      <m:sty m:val="p"/>
                    </m:rPr>
                    <m:t>d</m:t>
                  </m:r>
                  <m:r>
                    <m:rPr>
                      <m:sty m:val="p"/>
                    </m:rPr>
                    <m:t>e</m:t>
                  </m:r>
                  <m:r>
                    <m:rPr>
                      <m:sty m:val="p"/>
                    </m:rPr>
                    <m:t>l</m:t>
                  </m:r>
                </m:sub>
              </m:sSub>
            </m:num>
            <m:den>
              <m:sSub>
                <m:e>
                  <m:r>
                    <m:rPr>
                      <m:sty m:val="p"/>
                    </m:rPr>
                    <m:t>M</m:t>
                  </m:r>
                  <m:r>
                    <m:rPr>
                      <m:sty m:val="p"/>
                    </m:rPr>
                    <m:t>S</m:t>
                  </m:r>
                  <m:r>
                    <m:rPr>
                      <m:sty m:val="p"/>
                    </m:rPr>
                    <m:t>E</m:t>
                  </m:r>
                </m:e>
                <m:sub>
                  <m:r>
                    <m:rPr>
                      <m:sty m:val="p"/>
                    </m:rPr>
                    <m:t>m</m:t>
                  </m:r>
                  <m:r>
                    <m:rPr>
                      <m:sty m:val="p"/>
                    </m:rPr>
                    <m:t>e</m:t>
                  </m:r>
                  <m:r>
                    <m:rPr>
                      <m:sty m:val="p"/>
                    </m:rPr>
                    <m:t>a</m:t>
                  </m:r>
                  <m:r>
                    <m:rPr>
                      <m:sty m:val="p"/>
                    </m:rPr>
                    <m:t>n</m:t>
                  </m:r>
                </m:sub>
              </m:sSub>
            </m:den>
          </m:f>
          <m:r>
            <m:rPr>
              <m:sty m:val="p"/>
            </m:rPr>
            <m:t>.</m:t>
          </m:r>
          <m:r>
            <m:t>  </m:t>
          </m:r>
          <m:r>
            <m:t>  </m:t>
          </m:r>
          <m:r>
            <m:rPr>
              <m:sty m:val="p"/>
            </m:rPr>
            <m:t>(</m:t>
          </m:r>
          <m:r>
            <m:t>16</m:t>
          </m:r>
          <m:r>
            <m:rPr>
              <m:sty m:val="p"/>
            </m:rPr>
            <m:t>)</m:t>
          </m:r>
        </m:oMath>
      </m:oMathPara>
    </w:p>
    <w:p>
      <w:pPr>
        <w:pStyle w:val="FirstParagraph"/>
      </w:pPr>
      <m:oMath>
        <m:r>
          <m:t>S</m:t>
        </m:r>
        <m:r>
          <m:t>S</m:t>
        </m:r>
        <m:r>
          <m:rPr>
            <m:sty m:val="p"/>
          </m:rPr>
          <m:t>=</m:t>
        </m:r>
        <m:r>
          <m:t>1</m:t>
        </m:r>
      </m:oMath>
      <w:r>
        <w:t xml:space="preserve"> </w:t>
      </w:r>
      <w:r>
        <w:t xml:space="preserve">is a perfect prediction,</w:t>
      </w:r>
      <w:r>
        <w:t xml:space="preserve"> </w:t>
      </w:r>
      <m:oMath>
        <m:r>
          <m:t>S</m:t>
        </m:r>
        <m:r>
          <m:t>S</m:t>
        </m:r>
        <m:r>
          <m:rPr>
            <m:sty m:val="p"/>
          </m:rPr>
          <m:t>=</m:t>
        </m:r>
        <m:r>
          <m:t>0</m:t>
        </m:r>
      </m:oMath>
      <w:r>
        <w:t xml:space="preserve"> </w:t>
      </w:r>
      <w:r>
        <w:t xml:space="preserve">is no better than the training mean and</w:t>
      </w:r>
      <w:r>
        <w:t xml:space="preserve"> </w:t>
      </w:r>
      <m:oMath>
        <m:r>
          <m:t>S</m:t>
        </m:r>
        <m:r>
          <m:t>S</m:t>
        </m:r>
        <m:r>
          <m:rPr>
            <m:sty m:val="p"/>
          </m:rPr>
          <m:t>&lt;</m:t>
        </m:r>
        <m:r>
          <m:t>0</m:t>
        </m:r>
      </m:oMath>
      <w:r>
        <w:t xml:space="preserve"> </w:t>
      </w:r>
      <w:r>
        <w:t xml:space="preserve">is worse. The skill score differs from the coefficient of determination</w:t>
      </w:r>
      <w:r>
        <w:t xml:space="preserve"> </w:t>
      </w:r>
      <m:oMath>
        <m:sSup>
          <m:e>
            <m:r>
              <m:t>R</m:t>
            </m:r>
          </m:e>
          <m:sup>
            <m:r>
              <m:t>2</m:t>
            </m:r>
          </m:sup>
        </m:sSup>
      </m:oMath>
      <w:r>
        <w:t xml:space="preserve">, which uses the test-set mean and is therefore not a no-skill baseline when the test and training groups differ. Under group-held-out splitting,</w:t>
      </w:r>
      <w:r>
        <w:t xml:space="preserve"> </w:t>
      </w:r>
      <m:oMath>
        <m:sSub>
          <m:e>
            <m:r>
              <m:rPr>
                <m:sty m:val="p"/>
              </m:rPr>
              <m:t>M</m:t>
            </m:r>
            <m:r>
              <m:rPr>
                <m:sty m:val="p"/>
              </m:rPr>
              <m:t>S</m:t>
            </m:r>
            <m:r>
              <m:rPr>
                <m:sty m:val="p"/>
              </m:rPr>
              <m:t>E</m:t>
            </m:r>
          </m:e>
          <m:sub>
            <m:r>
              <m:rPr>
                <m:sty m:val="p"/>
              </m:rPr>
              <m:t>m</m:t>
            </m:r>
            <m:r>
              <m:rPr>
                <m:sty m:val="p"/>
              </m:rPr>
              <m:t>e</m:t>
            </m:r>
            <m:r>
              <m:rPr>
                <m:sty m:val="p"/>
              </m:rPr>
              <m:t>a</m:t>
            </m:r>
            <m:r>
              <m:rPr>
                <m:sty m:val="p"/>
              </m:rPr>
              <m:t>n</m:t>
            </m:r>
          </m:sub>
        </m:sSub>
        <m:r>
          <m:rPr>
            <m:sty m:val="p"/>
          </m:rPr>
          <m:t>=</m:t>
        </m:r>
        <m:r>
          <m:rPr>
            <m:sty m:val="p"/>
          </m:rPr>
          <m:t>Var</m:t>
        </m:r>
        <m:r>
          <m:rPr>
            <m:sty m:val="p"/>
          </m:rPr>
          <m:t>(</m:t>
        </m:r>
        <m:r>
          <m:t>y</m:t>
        </m:r>
        <m:r>
          <m:rPr>
            <m:sty m:val="p"/>
          </m:rPr>
          <m:t>)</m:t>
        </m:r>
        <m:r>
          <m:rPr>
            <m:sty m:val="p"/>
          </m:rPr>
          <m:t>+</m:t>
        </m:r>
        <m:r>
          <m:rPr>
            <m:sty m:val="p"/>
          </m:rPr>
          <m:t>Var</m:t>
        </m:r>
        <m:r>
          <m:rPr>
            <m:sty m:val="p"/>
          </m:rPr>
          <m:t>(</m:t>
        </m:r>
        <m:sSub>
          <m:e>
            <m:acc>
              <m:accPr>
                <m:chr m:val="‾"/>
              </m:accPr>
              <m:e>
                <m:r>
                  <m:t>y</m:t>
                </m:r>
              </m:e>
            </m:acc>
          </m:e>
          <m:sub>
            <m:r>
              <m:rPr>
                <m:sty m:val="p"/>
              </m:rPr>
              <m:t>t</m:t>
            </m:r>
            <m:r>
              <m:rPr>
                <m:sty m:val="p"/>
              </m:rPr>
              <m:t>r</m:t>
            </m:r>
            <m:r>
              <m:rPr>
                <m:sty m:val="p"/>
              </m:rPr>
              <m:t>a</m:t>
            </m:r>
            <m:r>
              <m:rPr>
                <m:sty m:val="p"/>
              </m:rPr>
              <m:t>i</m:t>
            </m:r>
            <m:r>
              <m:rPr>
                <m:sty m:val="p"/>
              </m:rPr>
              <m:t>n</m:t>
            </m:r>
          </m:sub>
        </m:sSub>
        <m:r>
          <m:rPr>
            <m:sty m:val="p"/>
          </m:rPr>
          <m:t>)</m:t>
        </m:r>
      </m:oMath>
      <w:r>
        <w:t xml:space="preserve"> </w:t>
      </w:r>
      <w:r>
        <w:t xml:space="preserve">and the second term is small, approximately</w:t>
      </w:r>
      <w:r>
        <w:t xml:space="preserve"> </w:t>
      </w:r>
      <m:oMath>
        <m:r>
          <m:rPr>
            <m:sty m:val="p"/>
          </m:rPr>
          <m:t>Var</m:t>
        </m:r>
        <m:r>
          <m:rPr>
            <m:sty m:val="p"/>
          </m:rPr>
          <m:t>(</m:t>
        </m:r>
        <m:r>
          <m:t>y</m:t>
        </m:r>
        <m:r>
          <m:rPr>
            <m:sty m:val="p"/>
          </m:rPr>
          <m:t>)</m:t>
        </m:r>
        <m:d>
          <m:dPr>
            <m:begChr m:val="("/>
            <m:sepChr m:val=""/>
            <m:endChr m:val=")"/>
            <m:grow/>
          </m:dPr>
          <m:e>
            <m:sSub>
              <m:e>
                <m:r>
                  <m:t>𝜚</m:t>
                </m:r>
              </m:e>
              <m:sub>
                <m:r>
                  <m:t>y</m:t>
                </m:r>
              </m:sub>
            </m:sSub>
            <m:r>
              <m:rPr>
                <m:sty m:val="p"/>
              </m:rPr>
              <m:t>/</m:t>
            </m:r>
            <m:sSub>
              <m:e>
                <m:r>
                  <m:t>G</m:t>
                </m:r>
              </m:e>
              <m:sub>
                <m:r>
                  <m:rPr>
                    <m:sty m:val="p"/>
                  </m:rPr>
                  <m:t>t</m:t>
                </m:r>
                <m:r>
                  <m:rPr>
                    <m:sty m:val="p"/>
                  </m:rPr>
                  <m:t>r</m:t>
                </m:r>
                <m:r>
                  <m:rPr>
                    <m:sty m:val="p"/>
                  </m:rPr>
                  <m:t>a</m:t>
                </m:r>
                <m:r>
                  <m:rPr>
                    <m:sty m:val="p"/>
                  </m:rPr>
                  <m:t>i</m:t>
                </m:r>
                <m:r>
                  <m:rPr>
                    <m:sty m:val="p"/>
                  </m:rPr>
                  <m:t>n</m:t>
                </m:r>
              </m:sub>
            </m:sSub>
            <m:r>
              <m:rPr>
                <m:sty m:val="p"/>
              </m:rPr>
              <m:t>+</m:t>
            </m:r>
            <m:r>
              <m:rPr>
                <m:sty m:val="p"/>
              </m:rPr>
              <m:t>(</m:t>
            </m:r>
            <m:r>
              <m:t>1</m:t>
            </m:r>
            <m:r>
              <m:rPr>
                <m:sty m:val="p"/>
              </m:rPr>
              <m:t>−</m:t>
            </m:r>
            <m:sSub>
              <m:e>
                <m:r>
                  <m:t>𝜚</m:t>
                </m:r>
              </m:e>
              <m:sub>
                <m:r>
                  <m:t>y</m:t>
                </m:r>
              </m:sub>
            </m:sSub>
            <m:r>
              <m:rPr>
                <m:sty m:val="p"/>
              </m:rPr>
              <m:t>)</m:t>
            </m:r>
            <m:r>
              <m:rPr>
                <m:sty m:val="p"/>
              </m:rPr>
              <m:t>/</m:t>
            </m:r>
            <m:sSub>
              <m:e>
                <m:r>
                  <m:t>N</m:t>
                </m:r>
              </m:e>
              <m:sub>
                <m:r>
                  <m:rPr>
                    <m:sty m:val="p"/>
                  </m:rPr>
                  <m:t>t</m:t>
                </m:r>
                <m:r>
                  <m:rPr>
                    <m:sty m:val="p"/>
                  </m:rPr>
                  <m:t>r</m:t>
                </m:r>
                <m:r>
                  <m:rPr>
                    <m:sty m:val="p"/>
                  </m:rPr>
                  <m:t>a</m:t>
                </m:r>
                <m:r>
                  <m:rPr>
                    <m:sty m:val="p"/>
                  </m:rPr>
                  <m:t>i</m:t>
                </m:r>
                <m:r>
                  <m:rPr>
                    <m:sty m:val="p"/>
                  </m:rPr>
                  <m:t>n</m:t>
                </m:r>
              </m:sub>
            </m:sSub>
          </m:e>
        </m:d>
      </m:oMath>
      <w:r>
        <w:t xml:space="preserve"> </w:t>
      </w:r>
      <w:r>
        <w:t xml:space="preserve">with</w:t>
      </w:r>
      <w:r>
        <w:t xml:space="preserve"> </w:t>
      </w:r>
      <m:oMath>
        <m:sSub>
          <m:e>
            <m:r>
              <m:t>𝜚</m:t>
            </m:r>
          </m:e>
          <m:sub>
            <m:r>
              <m:t>y</m:t>
            </m:r>
          </m:sub>
        </m:sSub>
      </m:oMath>
      <w:r>
        <w:t xml:space="preserve"> </w:t>
      </w:r>
      <w:r>
        <w:t xml:space="preserve">the ICC of the target, so that the reference is essentially the marginal variance of the target. We report</w:t>
      </w:r>
      <w:r>
        <w:t xml:space="preserve"> </w:t>
      </w:r>
      <m:oMath>
        <m:r>
          <m:t>S</m:t>
        </m:r>
        <m:r>
          <m:t>S</m:t>
        </m:r>
      </m:oMath>
      <w:r>
        <w:t xml:space="preserve"> </w:t>
      </w:r>
      <w:r>
        <w:t xml:space="preserve">and the corresponding RMSE ratio</w:t>
      </w:r>
      <w:r>
        <w:t xml:space="preserve"> </w:t>
      </w:r>
      <m:oMath>
        <m:rad>
          <m:radPr>
            <m:degHide m:val="on"/>
          </m:radPr>
          <m:deg/>
          <m:e>
            <m:sSub>
              <m:e>
                <m:r>
                  <m:rPr>
                    <m:sty m:val="p"/>
                  </m:rPr>
                  <m:t>M</m:t>
                </m:r>
                <m:r>
                  <m:rPr>
                    <m:sty m:val="p"/>
                  </m:rPr>
                  <m:t>S</m:t>
                </m:r>
                <m:r>
                  <m:rPr>
                    <m:sty m:val="p"/>
                  </m:rPr>
                  <m:t>E</m:t>
                </m:r>
              </m:e>
              <m:sub>
                <m:r>
                  <m:rPr>
                    <m:sty m:val="p"/>
                  </m:rPr>
                  <m:t>m</m:t>
                </m:r>
                <m:r>
                  <m:rPr>
                    <m:sty m:val="p"/>
                  </m:rPr>
                  <m:t>o</m:t>
                </m:r>
                <m:r>
                  <m:rPr>
                    <m:sty m:val="p"/>
                  </m:rPr>
                  <m:t>d</m:t>
                </m:r>
                <m:r>
                  <m:rPr>
                    <m:sty m:val="p"/>
                  </m:rPr>
                  <m:t>e</m:t>
                </m:r>
                <m:r>
                  <m:rPr>
                    <m:sty m:val="p"/>
                  </m:rPr>
                  <m:t>l</m:t>
                </m:r>
              </m:sub>
            </m:sSub>
            <m:r>
              <m:rPr>
                <m:sty m:val="p"/>
              </m:rPr>
              <m:t>/</m:t>
            </m:r>
            <m:sSub>
              <m:e>
                <m:r>
                  <m:rPr>
                    <m:sty m:val="p"/>
                  </m:rPr>
                  <m:t>M</m:t>
                </m:r>
                <m:r>
                  <m:rPr>
                    <m:sty m:val="p"/>
                  </m:rPr>
                  <m:t>S</m:t>
                </m:r>
                <m:r>
                  <m:rPr>
                    <m:sty m:val="p"/>
                  </m:rPr>
                  <m:t>E</m:t>
                </m:r>
              </m:e>
              <m:sub>
                <m:r>
                  <m:rPr>
                    <m:sty m:val="p"/>
                  </m:rPr>
                  <m:t>m</m:t>
                </m:r>
                <m:r>
                  <m:rPr>
                    <m:sty m:val="p"/>
                  </m:rPr>
                  <m:t>e</m:t>
                </m:r>
                <m:r>
                  <m:rPr>
                    <m:sty m:val="p"/>
                  </m:rPr>
                  <m:t>a</m:t>
                </m:r>
                <m:r>
                  <m:rPr>
                    <m:sty m:val="p"/>
                  </m:rPr>
                  <m:t>n</m:t>
                </m:r>
              </m:sub>
            </m:sSub>
          </m:e>
        </m:rad>
      </m:oMath>
      <w:r>
        <w:t xml:space="preserve"> </w:t>
      </w:r>
      <w:r>
        <w:t xml:space="preserve">throughout, because a model that is worse than the training mean on new groups carries no usable information for them regardless of how good it looks under random splitting.</w:t>
      </w:r>
    </w:p>
    <w:bookmarkEnd w:id="30"/>
    <w:bookmarkStart w:id="31" w:name="X725483317a7eeace76d416fd70e6b6ac0bc35bd"/>
    <w:p>
      <w:pPr>
        <w:pStyle w:val="Heading2"/>
      </w:pPr>
      <w:r>
        <w:rPr>
          <w:rStyle w:val="SectionNumber"/>
        </w:rPr>
        <w:t xml:space="preserve">3.7</w:t>
      </w:r>
      <w:r>
        <w:tab/>
      </w:r>
      <w:r>
        <w:t xml:space="preserve">Learning curves over the number of training groups</w:t>
      </w:r>
    </w:p>
    <w:p>
      <w:pPr>
        <w:pStyle w:val="FirstParagraph"/>
      </w:pPr>
      <w:r>
        <w:t xml:space="preserve">For a smooth shared signal</w:t>
      </w:r>
      <w:r>
        <w:t xml:space="preserve"> </w:t>
      </w:r>
      <m:oMath>
        <m:r>
          <m:t>f</m:t>
        </m:r>
      </m:oMath>
      <w:r>
        <w:t xml:space="preserve"> </w:t>
      </w:r>
      <w:r>
        <w:t xml:space="preserve">estimated from</w:t>
      </w:r>
      <w:r>
        <w:t xml:space="preserve"> </w:t>
      </w:r>
      <m:oMath>
        <m:r>
          <m:t>g</m:t>
        </m:r>
      </m:oMath>
      <w:r>
        <w:t xml:space="preserve"> </w:t>
      </w:r>
      <w:r>
        <w:t xml:space="preserve">training groups, we expect the group-held-out risk to decrease towards a floor as</w:t>
      </w:r>
      <w:r>
        <w:t xml:space="preserve"> </w:t>
      </w:r>
      <m:oMath>
        <m:r>
          <m:t>g</m:t>
        </m:r>
      </m:oMath>
      <w:r>
        <w:t xml:space="preserve"> </w:t>
      </w:r>
      <w:r>
        <w:t xml:space="preserve">grows,</w:t>
      </w:r>
      <w:r>
        <w:t xml:space="preserve"> </w:t>
      </w:r>
      <m:oMath>
        <m:sSub>
          <m:e>
            <m:r>
              <m:t>R</m:t>
            </m:r>
          </m:e>
          <m:sub>
            <m:r>
              <m:rPr>
                <m:sty m:val="p"/>
              </m:rPr>
              <m:t>g</m:t>
            </m:r>
            <m:r>
              <m:rPr>
                <m:sty m:val="p"/>
              </m:rPr>
              <m:t>r</m:t>
            </m:r>
            <m:r>
              <m:rPr>
                <m:sty m:val="p"/>
              </m:rPr>
              <m:t>p</m:t>
            </m:r>
          </m:sub>
        </m:sSub>
        <m:r>
          <m:rPr>
            <m:sty m:val="p"/>
          </m:rPr>
          <m:t>(</m:t>
        </m:r>
        <m:r>
          <m:t>g</m:t>
        </m:r>
        <m:r>
          <m:rPr>
            <m:sty m:val="p"/>
          </m:rPr>
          <m:t>)</m:t>
        </m:r>
        <m:r>
          <m:rPr>
            <m:sty m:val="p"/>
          </m:rPr>
          <m:t>≈</m:t>
        </m:r>
        <m:sSub>
          <m:e>
            <m:r>
              <m:t>R</m:t>
            </m:r>
          </m:e>
          <m:sub>
            <m:r>
              <m:rPr>
                <m:sty m:val="p"/>
              </m:rPr>
              <m:t>∞</m:t>
            </m:r>
          </m:sub>
        </m:sSub>
        <m:r>
          <m:rPr>
            <m:sty m:val="p"/>
          </m:rPr>
          <m:t>+</m:t>
        </m:r>
        <m:r>
          <m:t>b</m:t>
        </m:r>
        <m:r>
          <m:t> </m:t>
        </m:r>
        <m:sSup>
          <m:e>
            <m:r>
              <m:t>g</m:t>
            </m:r>
          </m:e>
          <m:sup>
            <m:r>
              <m:rPr>
                <m:sty m:val="p"/>
              </m:rPr>
              <m:t>−</m:t>
            </m:r>
            <m:r>
              <m:t>c</m:t>
            </m:r>
          </m:sup>
        </m:sSup>
      </m:oMath>
      <w:r>
        <w:t xml:space="preserve">, with the rate set by how well the groups cover the feature space; held-out groups at the edge of the design are extrapolations and decrease more slowly. The random-split risk, in contrast, depends mainly on the number of rows per group and is nearly flat in</w:t>
      </w:r>
      <w:r>
        <w:t xml:space="preserve"> </w:t>
      </w:r>
      <m:oMath>
        <m:r>
          <m:t>g</m:t>
        </m:r>
      </m:oMath>
      <w:r>
        <w:t xml:space="preserve">. Plotting both against the number of training groups (Section 6.2) shows whether additional groups, rather than additional rows, would improve generalisation, which is a practical use of the framework: collecting more rows from the same groups does not help new groups.</w:t>
      </w:r>
    </w:p>
    <w:bookmarkEnd w:id="31"/>
    <w:bookmarkEnd w:id="32"/>
    <w:bookmarkStart w:id="40" w:name="datasets-and-group-structure"/>
    <w:p>
      <w:pPr>
        <w:pStyle w:val="Heading1"/>
      </w:pPr>
      <w:r>
        <w:rPr>
          <w:rStyle w:val="SectionNumber"/>
        </w:rPr>
        <w:t xml:space="preserve">4</w:t>
      </w:r>
      <w:r>
        <w:tab/>
      </w:r>
      <w:r>
        <w:t xml:space="preserve">Datasets and group structure</w:t>
      </w:r>
    </w:p>
    <w:p>
      <w:pPr>
        <w:pStyle w:val="FirstParagraph"/>
      </w:pPr>
      <w:r>
        <w:t xml:space="preserve">We use three public datasets that are frequently used to compare regression methods and that were obtained from designed experiments or repeated measurements. All three are available from the UCI Machine Learning Repository and mirrored on Kaggle; the exact files used are in the</w:t>
      </w:r>
      <w:r>
        <w:t xml:space="preserve"> </w:t>
      </w:r>
      <w:r>
        <w:rPr>
          <w:rStyle w:val="VerbatimChar"/>
        </w:rPr>
        <w:t xml:space="preserve">data/</w:t>
      </w:r>
      <w:r>
        <w:t xml:space="preserve"> </w:t>
      </w:r>
      <w:r>
        <w:t xml:space="preserve">folder of the accompanying repository. Table 3 summarises their size, targets and group structure, and Fig. 2 visualises the grouping.</w:t>
      </w:r>
    </w:p>
    <w:p>
      <w:pPr>
        <w:pStyle w:val="TableCaption"/>
      </w:pPr>
      <w:r>
        <w:t xml:space="preserve">Table 3. Datasets, targets and group structure.</w:t>
      </w:r>
      <w:r>
        <w:t xml:space="preserve"> </w:t>
      </w:r>
      <m:oMath>
        <m:r>
          <m:t>G</m:t>
        </m:r>
      </m:oMath>
      <w:r>
        <w:t xml:space="preserve"> </w:t>
      </w:r>
      <w:r>
        <w:t xml:space="preserve">is the number of groups;</w:t>
      </w:r>
      <w:r>
        <w:t xml:space="preserve"> </w:t>
      </w:r>
      <m:oMath>
        <m:r>
          <m:t>m</m:t>
        </m:r>
      </m:oMath>
      <w:r>
        <w:t xml:space="preserve"> </w:t>
      </w:r>
      <w:r>
        <w:t xml:space="preserve">is the number of rows per group; ICC is the intraclass correlation of the target (one-way ANOVA estimator, unbalanced design). SD is the standard deviation of the target.</w:t>
      </w:r>
    </w:p>
    <w:tbl>
      <w:tblPr>
        <w:tblStyle w:val="Table"/>
        <w:tblW w:w="9071" w:type="dxa"/>
        <w:tblBorders>
          <w:top w:val="single" w:sz="12" w:space="0" w:color="000000"/>
          <w:left w:val="nil"/>
          <w:bottom w:val="single" w:sz="12"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Caption w:val="Table 3. Datasets, targets and group structure. G is the number of groups; m is the number of rows per group; ICC is the intraclass correlation of the target (one-way ANOVA estimator, unbalanced design). SD is the standard deviation of the target."/>
      </w:tblPr>
      <w:tblGrid>
        <w:gridCol w:w="990"/>
        <w:gridCol w:w="609"/>
        <w:gridCol w:w="762"/>
        <w:gridCol w:w="2134"/>
        <w:gridCol w:w="1143"/>
        <w:gridCol w:w="609"/>
        <w:gridCol w:w="1676"/>
        <w:gridCol w:w="1143"/>
      </w:tblGrid>
      <w:tr>
        <w:trPr>
          <w:cantSplit w:val="true"/>
          <w:tblHeader w:val="on"/>
          <w:tblHeader w:val="true"/>
        </w:trPr>
        <w:tc>
          <w:tcPr>
            <w:tcW w:w="990" w:type="dxa"/>
            <w:tcBorders>
              <w:bottom w:val="single" w:sz="6" w:space="0" w:color="000000"/>
            </w:tcBorders>
          </w:tcPr>
          <w:p>
            <w:pPr>
              <w:pStyle w:val="Compact"/>
              <w:keepLines/>
              <w:jc w:val="left"/>
            </w:pPr>
            <w:r>
              <w:rPr>
                <w:b/>
                <w:sz w:val="16"/>
              </w:rPr>
              <w:t xml:space="preserve">Dataset</w:t>
            </w:r>
          </w:p>
        </w:tc>
        <w:tc>
          <w:tcPr>
            <w:tcW w:w="609" w:type="dxa"/>
            <w:tcBorders>
              <w:bottom w:val="single" w:sz="6" w:space="0" w:color="000000"/>
            </w:tcBorders>
          </w:tcPr>
          <w:p>
            <w:pPr>
              <w:pStyle w:val="Compact"/>
              <w:keepLines/>
              <w:jc w:val="right"/>
            </w:pPr>
            <w:r>
              <w:rPr>
                <w:b/>
                <w:sz w:val="16"/>
              </w:rPr>
              <w:t xml:space="preserve">Rows</w:t>
            </w:r>
          </w:p>
        </w:tc>
        <w:tc>
          <w:tcPr>
            <w:tcW w:w="762" w:type="dxa"/>
            <w:tcBorders>
              <w:bottom w:val="single" w:sz="6" w:space="0" w:color="000000"/>
            </w:tcBorders>
          </w:tcPr>
          <w:p>
            <w:pPr>
              <w:pStyle w:val="Compact"/>
              <w:keepLines/>
              <w:jc w:val="right"/>
            </w:pPr>
            <w:r>
              <w:rPr>
                <w:b/>
                <w:sz w:val="16"/>
              </w:rPr>
              <w:t xml:space="preserve">Features</w:t>
            </w:r>
          </w:p>
        </w:tc>
        <w:tc>
          <w:tcPr>
            <w:tcW w:w="2134" w:type="dxa"/>
            <w:tcBorders>
              <w:bottom w:val="single" w:sz="6" w:space="0" w:color="000000"/>
            </w:tcBorders>
          </w:tcPr>
          <w:p>
            <w:pPr>
              <w:pStyle w:val="Compact"/>
              <w:keepLines/>
              <w:jc w:val="left"/>
            </w:pPr>
            <w:r>
              <w:rPr>
                <w:b/>
                <w:sz w:val="16"/>
              </w:rPr>
              <w:t xml:space="preserve">Target (unit)</w:t>
            </w:r>
          </w:p>
        </w:tc>
        <w:tc>
          <w:tcPr>
            <w:tcW w:w="1143" w:type="dxa"/>
            <w:tcBorders>
              <w:bottom w:val="single" w:sz="6" w:space="0" w:color="000000"/>
            </w:tcBorders>
          </w:tcPr>
          <w:p>
            <w:pPr>
              <w:pStyle w:val="Compact"/>
              <w:keepLines/>
              <w:jc w:val="left"/>
            </w:pPr>
            <w:r>
              <w:rPr>
                <w:b/>
                <w:sz w:val="16"/>
              </w:rPr>
              <w:t xml:space="preserve">Mean ± SD</w:t>
            </w:r>
          </w:p>
        </w:tc>
        <w:tc>
          <w:tcPr>
            <w:tcW w:w="609" w:type="dxa"/>
            <w:tcBorders>
              <w:bottom w:val="single" w:sz="6" w:space="0" w:color="000000"/>
            </w:tcBorders>
          </w:tcPr>
          <w:p>
            <w:pPr>
              <w:pStyle w:val="Compact"/>
              <w:keepLines/>
              <w:jc w:val="right"/>
            </w:pPr>
            <m:oMath>
              <m:r>
                <m:t>G</m:t>
              </m:r>
            </m:oMath>
          </w:p>
        </w:tc>
        <w:tc>
          <w:tcPr>
            <w:tcW w:w="1676" w:type="dxa"/>
            <w:tcBorders>
              <w:bottom w:val="single" w:sz="6" w:space="0" w:color="000000"/>
            </w:tcBorders>
          </w:tcPr>
          <w:p>
            <w:pPr>
              <w:pStyle w:val="Compact"/>
              <w:keepLines/>
              <w:jc w:val="left"/>
            </w:pPr>
            <m:oMath>
              <m:r>
                <m:t>m</m:t>
              </m:r>
            </m:oMath>
            <w:r>
              <w:rPr>
                <w:b/>
                <w:sz w:val="16"/>
              </w:rPr>
              <w:t xml:space="preserve"> </w:t>
            </w:r>
            <w:r>
              <w:rPr>
                <w:b/>
                <w:sz w:val="16"/>
              </w:rPr>
              <w:t xml:space="preserve">(min / median / max)</w:t>
            </w:r>
          </w:p>
        </w:tc>
        <w:tc>
          <w:tcPr>
            <w:tcW w:w="1143" w:type="dxa"/>
            <w:tcBorders>
              <w:bottom w:val="single" w:sz="6" w:space="0" w:color="000000"/>
            </w:tcBorders>
          </w:tcPr>
          <w:p>
            <w:pPr>
              <w:pStyle w:val="Compact"/>
              <w:keepLines/>
              <w:jc w:val="right"/>
            </w:pPr>
            <w:r>
              <w:rPr>
                <w:b/>
                <w:sz w:val="16"/>
              </w:rPr>
              <w:t xml:space="preserve">ICC of target</w:t>
            </w:r>
          </w:p>
        </w:tc>
      </w:tr>
      <w:tr>
        <w:trPr>
          <w:cantSplit w:val="true"/>
        </w:trPr>
        <w:tc>
          <w:tcPr>
            <w:tcW w:w="990" w:type="dxa"/>
          </w:tcPr>
          <w:p>
            <w:pPr>
              <w:pStyle w:val="Compact"/>
              <w:keepLines/>
              <w:jc w:val="left"/>
            </w:pPr>
            <w:r>
              <w:rPr>
                <w:sz w:val="16"/>
              </w:rPr>
              <w:t xml:space="preserve">ENB2012</w:t>
            </w:r>
          </w:p>
        </w:tc>
        <w:tc>
          <w:tcPr>
            <w:tcW w:w="609" w:type="dxa"/>
          </w:tcPr>
          <w:p>
            <w:pPr>
              <w:pStyle w:val="Compact"/>
              <w:keepLines/>
              <w:jc w:val="right"/>
            </w:pPr>
            <w:r>
              <w:rPr>
                <w:sz w:val="16"/>
              </w:rPr>
              <w:t xml:space="preserve">768</w:t>
            </w:r>
          </w:p>
        </w:tc>
        <w:tc>
          <w:tcPr>
            <w:tcW w:w="762" w:type="dxa"/>
          </w:tcPr>
          <w:p>
            <w:pPr>
              <w:pStyle w:val="Compact"/>
              <w:keepLines/>
              <w:jc w:val="right"/>
            </w:pPr>
            <w:r>
              <w:rPr>
                <w:sz w:val="16"/>
              </w:rPr>
              <w:t xml:space="preserve">8</w:t>
            </w:r>
          </w:p>
        </w:tc>
        <w:tc>
          <w:tcPr>
            <w:tcW w:w="2134" w:type="dxa"/>
          </w:tcPr>
          <w:p>
            <w:pPr>
              <w:pStyle w:val="Compact"/>
              <w:keepLines/>
              <w:jc w:val="left"/>
            </w:pPr>
            <w:r>
              <w:rPr>
                <w:sz w:val="16"/>
              </w:rPr>
              <w:t xml:space="preserve">Heating load (kWh/m²)</w:t>
            </w:r>
          </w:p>
        </w:tc>
        <w:tc>
          <w:tcPr>
            <w:tcW w:w="1143" w:type="dxa"/>
          </w:tcPr>
          <w:p>
            <w:pPr>
              <w:pStyle w:val="Compact"/>
              <w:keepLines/>
              <w:jc w:val="left"/>
            </w:pPr>
            <w:r>
              <w:rPr>
                <w:sz w:val="16"/>
              </w:rPr>
              <w:t xml:space="preserve">22.31 ± 10.09</w:t>
            </w:r>
          </w:p>
        </w:tc>
        <w:tc>
          <w:tcPr>
            <w:tcW w:w="609" w:type="dxa"/>
          </w:tcPr>
          <w:p>
            <w:pPr>
              <w:pStyle w:val="Compact"/>
              <w:keepLines/>
              <w:jc w:val="right"/>
            </w:pPr>
            <w:r>
              <w:rPr>
                <w:sz w:val="16"/>
              </w:rPr>
              <w:t xml:space="preserve">12</w:t>
            </w:r>
          </w:p>
        </w:tc>
        <w:tc>
          <w:tcPr>
            <w:tcW w:w="1676" w:type="dxa"/>
          </w:tcPr>
          <w:p>
            <w:pPr>
              <w:pStyle w:val="Compact"/>
              <w:keepLines/>
              <w:jc w:val="left"/>
            </w:pPr>
            <w:r>
              <w:rPr>
                <w:sz w:val="16"/>
              </w:rPr>
              <w:t xml:space="preserve">64 / 64 / 64</w:t>
            </w:r>
          </w:p>
        </w:tc>
        <w:tc>
          <w:tcPr>
            <w:tcW w:w="1143" w:type="dxa"/>
          </w:tcPr>
          <w:p>
            <w:pPr>
              <w:pStyle w:val="Compact"/>
              <w:keepLines/>
              <w:jc w:val="right"/>
            </w:pPr>
            <w:r>
              <w:rPr>
                <w:sz w:val="16"/>
              </w:rPr>
              <w:t xml:space="preserve">0.914</w:t>
            </w:r>
          </w:p>
        </w:tc>
      </w:tr>
      <w:tr>
        <w:trPr>
          <w:cantSplit w:val="true"/>
        </w:trPr>
        <w:tc>
          <w:tcPr>
            <w:tcW w:w="990" w:type="dxa"/>
          </w:tcPr>
          <w:p>
            <w:pPr>
              <w:pStyle w:val="Compact"/>
              <w:keepLines/>
              <w:jc w:val="left"/>
            </w:pPr>
            <w:r>
              <w:rPr>
                <w:sz w:val="16"/>
              </w:rPr>
              <w:t xml:space="preserve">ENB2012</w:t>
            </w:r>
          </w:p>
        </w:tc>
        <w:tc>
          <w:tcPr>
            <w:tcW w:w="609" w:type="dxa"/>
          </w:tcPr>
          <w:p>
            <w:pPr>
              <w:pStyle w:val="Compact"/>
              <w:keepLines/>
              <w:jc w:val="right"/>
            </w:pPr>
            <w:r>
              <w:rPr>
                <w:sz w:val="16"/>
              </w:rPr>
              <w:t xml:space="preserve">768</w:t>
            </w:r>
          </w:p>
        </w:tc>
        <w:tc>
          <w:tcPr>
            <w:tcW w:w="762" w:type="dxa"/>
          </w:tcPr>
          <w:p>
            <w:pPr>
              <w:pStyle w:val="Compact"/>
              <w:keepLines/>
              <w:jc w:val="right"/>
            </w:pPr>
            <w:r>
              <w:rPr>
                <w:sz w:val="16"/>
              </w:rPr>
              <w:t xml:space="preserve">8</w:t>
            </w:r>
          </w:p>
        </w:tc>
        <w:tc>
          <w:tcPr>
            <w:tcW w:w="2134" w:type="dxa"/>
          </w:tcPr>
          <w:p>
            <w:pPr>
              <w:pStyle w:val="Compact"/>
              <w:keepLines/>
              <w:jc w:val="left"/>
            </w:pPr>
            <w:r>
              <w:rPr>
                <w:sz w:val="16"/>
              </w:rPr>
              <w:t xml:space="preserve">Cooling load (kWh/m²)</w:t>
            </w:r>
          </w:p>
        </w:tc>
        <w:tc>
          <w:tcPr>
            <w:tcW w:w="1143" w:type="dxa"/>
          </w:tcPr>
          <w:p>
            <w:pPr>
              <w:pStyle w:val="Compact"/>
              <w:keepLines/>
              <w:jc w:val="left"/>
            </w:pPr>
            <w:r>
              <w:rPr>
                <w:sz w:val="16"/>
              </w:rPr>
              <w:t xml:space="preserve">24.59 ± 9.51</w:t>
            </w:r>
          </w:p>
        </w:tc>
        <w:tc>
          <w:tcPr>
            <w:tcW w:w="609" w:type="dxa"/>
          </w:tcPr>
          <w:p>
            <w:pPr>
              <w:pStyle w:val="Compact"/>
              <w:keepLines/>
              <w:jc w:val="right"/>
            </w:pPr>
            <w:r>
              <w:rPr>
                <w:sz w:val="16"/>
              </w:rPr>
              <w:t xml:space="preserve">12</w:t>
            </w:r>
          </w:p>
        </w:tc>
        <w:tc>
          <w:tcPr>
            <w:tcW w:w="1676" w:type="dxa"/>
          </w:tcPr>
          <w:p>
            <w:pPr>
              <w:pStyle w:val="Compact"/>
              <w:keepLines/>
              <w:jc w:val="left"/>
            </w:pPr>
            <w:r>
              <w:rPr>
                <w:sz w:val="16"/>
              </w:rPr>
              <w:t xml:space="preserve">64 / 64 / 64</w:t>
            </w:r>
          </w:p>
        </w:tc>
        <w:tc>
          <w:tcPr>
            <w:tcW w:w="1143" w:type="dxa"/>
          </w:tcPr>
          <w:p>
            <w:pPr>
              <w:pStyle w:val="Compact"/>
              <w:keepLines/>
              <w:jc w:val="right"/>
            </w:pPr>
            <w:r>
              <w:rPr>
                <w:sz w:val="16"/>
              </w:rPr>
              <w:t xml:space="preserve">0.927</w:t>
            </w:r>
          </w:p>
        </w:tc>
      </w:tr>
      <w:tr>
        <w:trPr>
          <w:cantSplit w:val="true"/>
        </w:trPr>
        <w:tc>
          <w:tcPr>
            <w:tcW w:w="990" w:type="dxa"/>
          </w:tcPr>
          <w:p>
            <w:pPr>
              <w:pStyle w:val="Compact"/>
              <w:keepLines/>
              <w:jc w:val="left"/>
            </w:pPr>
            <w:r>
              <w:rPr>
                <w:sz w:val="16"/>
              </w:rPr>
              <w:t xml:space="preserve">Concrete</w:t>
            </w:r>
          </w:p>
        </w:tc>
        <w:tc>
          <w:tcPr>
            <w:tcW w:w="609" w:type="dxa"/>
          </w:tcPr>
          <w:p>
            <w:pPr>
              <w:pStyle w:val="Compact"/>
              <w:keepLines/>
              <w:jc w:val="right"/>
            </w:pPr>
            <w:r>
              <w:rPr>
                <w:sz w:val="16"/>
              </w:rPr>
              <w:t xml:space="preserve">1,030</w:t>
            </w:r>
          </w:p>
        </w:tc>
        <w:tc>
          <w:tcPr>
            <w:tcW w:w="762" w:type="dxa"/>
          </w:tcPr>
          <w:p>
            <w:pPr>
              <w:pStyle w:val="Compact"/>
              <w:keepLines/>
              <w:jc w:val="right"/>
            </w:pPr>
            <w:r>
              <w:rPr>
                <w:sz w:val="16"/>
              </w:rPr>
              <w:t xml:space="preserve">8</w:t>
            </w:r>
          </w:p>
        </w:tc>
        <w:tc>
          <w:tcPr>
            <w:tcW w:w="2134" w:type="dxa"/>
          </w:tcPr>
          <w:p>
            <w:pPr>
              <w:pStyle w:val="Compact"/>
              <w:keepLines/>
              <w:jc w:val="left"/>
            </w:pPr>
            <w:r>
              <w:rPr>
                <w:sz w:val="16"/>
              </w:rPr>
              <w:t xml:space="preserve">Compressive strength (MPa)</w:t>
            </w:r>
          </w:p>
        </w:tc>
        <w:tc>
          <w:tcPr>
            <w:tcW w:w="1143" w:type="dxa"/>
          </w:tcPr>
          <w:p>
            <w:pPr>
              <w:pStyle w:val="Compact"/>
              <w:keepLines/>
              <w:jc w:val="left"/>
            </w:pPr>
            <w:r>
              <w:rPr>
                <w:sz w:val="16"/>
              </w:rPr>
              <w:t xml:space="preserve">35.82 ± 16.71</w:t>
            </w:r>
          </w:p>
        </w:tc>
        <w:tc>
          <w:tcPr>
            <w:tcW w:w="609" w:type="dxa"/>
          </w:tcPr>
          <w:p>
            <w:pPr>
              <w:pStyle w:val="Compact"/>
              <w:keepLines/>
              <w:jc w:val="right"/>
            </w:pPr>
            <w:r>
              <w:rPr>
                <w:sz w:val="16"/>
              </w:rPr>
              <w:t xml:space="preserve">427</w:t>
            </w:r>
          </w:p>
        </w:tc>
        <w:tc>
          <w:tcPr>
            <w:tcW w:w="1676" w:type="dxa"/>
          </w:tcPr>
          <w:p>
            <w:pPr>
              <w:pStyle w:val="Compact"/>
              <w:keepLines/>
              <w:jc w:val="left"/>
            </w:pPr>
            <w:r>
              <w:rPr>
                <w:sz w:val="16"/>
              </w:rPr>
              <w:t xml:space="preserve">1 / 1 / 20</w:t>
            </w:r>
          </w:p>
        </w:tc>
        <w:tc>
          <w:tcPr>
            <w:tcW w:w="1143" w:type="dxa"/>
          </w:tcPr>
          <w:p>
            <w:pPr>
              <w:pStyle w:val="Compact"/>
              <w:keepLines/>
              <w:jc w:val="right"/>
            </w:pPr>
            <w:r>
              <w:rPr>
                <w:sz w:val="16"/>
              </w:rPr>
              <w:t xml:space="preserve">0.406</w:t>
            </w:r>
          </w:p>
        </w:tc>
      </w:tr>
      <w:tr>
        <w:trPr>
          <w:cantSplit w:val="true"/>
        </w:trPr>
        <w:tc>
          <w:tcPr>
            <w:tcW w:w="990" w:type="dxa"/>
          </w:tcPr>
          <w:p>
            <w:pPr>
              <w:pStyle w:val="Compact"/>
              <w:keepLines/>
              <w:jc w:val="left"/>
            </w:pPr>
            <w:r>
              <w:rPr>
                <w:sz w:val="16"/>
              </w:rPr>
              <w:t xml:space="preserve">Parkinson’s</w:t>
            </w:r>
          </w:p>
        </w:tc>
        <w:tc>
          <w:tcPr>
            <w:tcW w:w="609" w:type="dxa"/>
          </w:tcPr>
          <w:p>
            <w:pPr>
              <w:pStyle w:val="Compact"/>
              <w:keepLines/>
              <w:jc w:val="right"/>
            </w:pPr>
            <w:r>
              <w:rPr>
                <w:sz w:val="16"/>
              </w:rPr>
              <w:t xml:space="preserve">5,875</w:t>
            </w:r>
          </w:p>
        </w:tc>
        <w:tc>
          <w:tcPr>
            <w:tcW w:w="762" w:type="dxa"/>
          </w:tcPr>
          <w:p>
            <w:pPr>
              <w:pStyle w:val="Compact"/>
              <w:keepLines/>
              <w:jc w:val="right"/>
            </w:pPr>
            <w:r>
              <w:rPr>
                <w:sz w:val="16"/>
              </w:rPr>
              <w:t xml:space="preserve">19</w:t>
            </w:r>
          </w:p>
        </w:tc>
        <w:tc>
          <w:tcPr>
            <w:tcW w:w="2134" w:type="dxa"/>
          </w:tcPr>
          <w:p>
            <w:pPr>
              <w:pStyle w:val="Compact"/>
              <w:keepLines/>
              <w:jc w:val="left"/>
            </w:pPr>
            <w:r>
              <w:rPr>
                <w:sz w:val="16"/>
              </w:rPr>
              <w:t xml:space="preserve">Total UPDRS (points)</w:t>
            </w:r>
          </w:p>
        </w:tc>
        <w:tc>
          <w:tcPr>
            <w:tcW w:w="1143" w:type="dxa"/>
          </w:tcPr>
          <w:p>
            <w:pPr>
              <w:pStyle w:val="Compact"/>
              <w:keepLines/>
              <w:jc w:val="left"/>
            </w:pPr>
            <w:r>
              <w:rPr>
                <w:sz w:val="16"/>
              </w:rPr>
              <w:t xml:space="preserve">29.02 ± 10.70</w:t>
            </w:r>
          </w:p>
        </w:tc>
        <w:tc>
          <w:tcPr>
            <w:tcW w:w="609" w:type="dxa"/>
          </w:tcPr>
          <w:p>
            <w:pPr>
              <w:pStyle w:val="Compact"/>
              <w:keepLines/>
              <w:jc w:val="right"/>
            </w:pPr>
            <w:r>
              <w:rPr>
                <w:sz w:val="16"/>
              </w:rPr>
              <w:t xml:space="preserve">42</w:t>
            </w:r>
          </w:p>
        </w:tc>
        <w:tc>
          <w:tcPr>
            <w:tcW w:w="1676" w:type="dxa"/>
          </w:tcPr>
          <w:p>
            <w:pPr>
              <w:pStyle w:val="Compact"/>
              <w:keepLines/>
              <w:jc w:val="left"/>
            </w:pPr>
            <w:r>
              <w:rPr>
                <w:sz w:val="16"/>
              </w:rPr>
              <w:t xml:space="preserve">101 / 141 / 168</w:t>
            </w:r>
          </w:p>
        </w:tc>
        <w:tc>
          <w:tcPr>
            <w:tcW w:w="1143" w:type="dxa"/>
          </w:tcPr>
          <w:p>
            <w:pPr>
              <w:pStyle w:val="Compact"/>
              <w:keepLines/>
              <w:jc w:val="right"/>
            </w:pPr>
            <w:r>
              <w:rPr>
                <w:sz w:val="16"/>
              </w:rPr>
              <w:t xml:space="preserve">0.935</w:t>
            </w:r>
          </w:p>
        </w:tc>
      </w:tr>
      <w:tr>
        <w:trPr>
          <w:cantSplit w:val="true"/>
        </w:trPr>
        <w:tc>
          <w:tcPr>
            <w:tcW w:w="990" w:type="dxa"/>
          </w:tcPr>
          <w:p>
            <w:pPr>
              <w:pStyle w:val="Compact"/>
              <w:keepLines/>
              <w:jc w:val="left"/>
            </w:pPr>
            <w:r>
              <w:rPr>
                <w:sz w:val="16"/>
              </w:rPr>
              <w:t xml:space="preserve">Parkinson’s</w:t>
            </w:r>
          </w:p>
        </w:tc>
        <w:tc>
          <w:tcPr>
            <w:tcW w:w="609" w:type="dxa"/>
          </w:tcPr>
          <w:p>
            <w:pPr>
              <w:pStyle w:val="Compact"/>
              <w:keepLines/>
              <w:jc w:val="right"/>
            </w:pPr>
            <w:r>
              <w:rPr>
                <w:sz w:val="16"/>
              </w:rPr>
              <w:t xml:space="preserve">5,875</w:t>
            </w:r>
          </w:p>
        </w:tc>
        <w:tc>
          <w:tcPr>
            <w:tcW w:w="762" w:type="dxa"/>
          </w:tcPr>
          <w:p>
            <w:pPr>
              <w:pStyle w:val="Compact"/>
              <w:keepLines/>
              <w:jc w:val="right"/>
            </w:pPr>
            <w:r>
              <w:rPr>
                <w:sz w:val="16"/>
              </w:rPr>
              <w:t xml:space="preserve">19</w:t>
            </w:r>
          </w:p>
        </w:tc>
        <w:tc>
          <w:tcPr>
            <w:tcW w:w="2134" w:type="dxa"/>
          </w:tcPr>
          <w:p>
            <w:pPr>
              <w:pStyle w:val="Compact"/>
              <w:keepLines/>
              <w:jc w:val="left"/>
            </w:pPr>
            <w:r>
              <w:rPr>
                <w:sz w:val="16"/>
              </w:rPr>
              <w:t xml:space="preserve">Motor UPDRS (points)</w:t>
            </w:r>
          </w:p>
        </w:tc>
        <w:tc>
          <w:tcPr>
            <w:tcW w:w="1143" w:type="dxa"/>
          </w:tcPr>
          <w:p>
            <w:pPr>
              <w:pStyle w:val="Compact"/>
              <w:keepLines/>
              <w:jc w:val="left"/>
            </w:pPr>
            <w:r>
              <w:rPr>
                <w:sz w:val="16"/>
              </w:rPr>
              <w:t xml:space="preserve">21.30 ± 8.13</w:t>
            </w:r>
          </w:p>
        </w:tc>
        <w:tc>
          <w:tcPr>
            <w:tcW w:w="609" w:type="dxa"/>
          </w:tcPr>
          <w:p>
            <w:pPr>
              <w:pStyle w:val="Compact"/>
              <w:keepLines/>
              <w:jc w:val="right"/>
            </w:pPr>
            <w:r>
              <w:rPr>
                <w:sz w:val="16"/>
              </w:rPr>
              <w:t xml:space="preserve">42</w:t>
            </w:r>
          </w:p>
        </w:tc>
        <w:tc>
          <w:tcPr>
            <w:tcW w:w="1676" w:type="dxa"/>
          </w:tcPr>
          <w:p>
            <w:pPr>
              <w:pStyle w:val="Compact"/>
              <w:keepLines/>
              <w:jc w:val="left"/>
            </w:pPr>
            <w:r>
              <w:rPr>
                <w:sz w:val="16"/>
              </w:rPr>
              <w:t xml:space="preserve">101 / 141 / 168</w:t>
            </w:r>
          </w:p>
        </w:tc>
        <w:tc>
          <w:tcPr>
            <w:tcW w:w="1143" w:type="dxa"/>
          </w:tcPr>
          <w:p>
            <w:pPr>
              <w:pStyle w:val="Compact"/>
              <w:keepLines/>
              <w:jc w:val="right"/>
            </w:pPr>
            <w:r>
              <w:rPr>
                <w:sz w:val="16"/>
              </w:rPr>
              <w:t xml:space="preserve">0.919</w:t>
            </w:r>
          </w:p>
        </w:tc>
      </w:tr>
    </w:tbl>
    <w:p>
      <w:pPr>
        <w:pStyle w:val="CaptionedFigure"/>
        <w:keepNext/>
        <w:spacing w:before="120"/>
        <w:jc w:val="center"/>
      </w:pPr>
      <w:r>
        <w:drawing>
          <wp:inline>
            <wp:extent cx="5753100" cy="4474633"/>
            <wp:effectExtent b="0" l="0" r="0" t="0"/>
            <wp:docPr descr="Fig. 2. Group structure of the three datasets. (a) ENB2012 heating load by building geometry; each point is one of 64 variants and the horizontal line marks the geometry mean. (b) Concrete: histogram of the number of rows per mix; 246 of 427 mixes occur once. (c) Parkinson’s: distribution of total UPDRS per patient, sorted by patient mean. (d) Intraclass correlation of each target with respect to its group variable." title="" id="34" name="Picture"/>
            <a:graphic>
              <a:graphicData uri="http://schemas.openxmlformats.org/drawingml/2006/picture">
                <pic:pic>
                  <pic:nvPicPr>
                    <pic:cNvPr descr="../figures/paper/fig02_structure.png" id="35" name="Picture"/>
                    <pic:cNvPicPr>
                      <a:picLocks noChangeArrowheads="1" noChangeAspect="1"/>
                    </pic:cNvPicPr>
                  </pic:nvPicPr>
                  <pic:blipFill>
                    <a:blip r:embed="rId33"/>
                    <a:stretch>
                      <a:fillRect/>
                    </a:stretch>
                  </pic:blipFill>
                  <pic:spPr bwMode="auto">
                    <a:xfrm>
                      <a:off x="0" y="0"/>
                      <a:ext cx="5753100" cy="4474633"/>
                    </a:xfrm>
                    <a:prstGeom prst="rect">
                      <a:avLst/>
                    </a:prstGeom>
                    <a:noFill/>
                    <a:ln w="9525">
                      <a:noFill/>
                      <a:headEnd/>
                      <a:tailEnd/>
                    </a:ln>
                  </pic:spPr>
                </pic:pic>
              </a:graphicData>
            </a:graphic>
          </wp:inline>
        </w:drawing>
      </w:r>
    </w:p>
    <w:p>
      <w:pPr>
        <w:pStyle w:val="ImageCaption"/>
      </w:pPr>
      <w:r>
        <w:t xml:space="preserve">Fig. 2. Group structure of the three datasets. (a) ENB2012 heating load by building geometry; each point is one of 64 variants and the horizontal line marks the geometry mean. (b) Concrete: histogram of the number of rows per mix; 246 of 427 mixes occur once. (c) Parkinson’s: distribution of total UPDRS per patient, sorted by patient mean. (d) Intraclass correlation of each target with respect to its group variable.</w:t>
      </w:r>
    </w:p>
    <w:bookmarkStart w:id="36" w:name="enb2012-simulated-building-geometries"/>
    <w:p>
      <w:pPr>
        <w:pStyle w:val="Heading2"/>
      </w:pPr>
      <w:r>
        <w:rPr>
          <w:rStyle w:val="SectionNumber"/>
        </w:rPr>
        <w:t xml:space="preserve">4.1</w:t>
      </w:r>
      <w:r>
        <w:tab/>
      </w:r>
      <w:r>
        <w:t xml:space="preserve">ENB2012: simulated building geometries</w:t>
      </w:r>
    </w:p>
    <w:p>
      <w:pPr>
        <w:pStyle w:val="FirstParagraph"/>
      </w:pPr>
      <w:r>
        <w:t xml:space="preserve">The Energy Efficiency dataset contains 768 buildings simulated in Ecotect, all with the same volume (771.75 m³), materials and location, and differing in layout, glazing and orientation [8]. The eight inputs are relative compactness (</w:t>
      </w:r>
      <m:oMath>
        <m:sSub>
          <m:e>
            <m:r>
              <m:t>X</m:t>
            </m:r>
          </m:e>
          <m:sub>
            <m:r>
              <m:t>1</m:t>
            </m:r>
          </m:sub>
        </m:sSub>
      </m:oMath>
      <w:r>
        <w:t xml:space="preserve">), surface area (</w:t>
      </w:r>
      <m:oMath>
        <m:sSub>
          <m:e>
            <m:r>
              <m:t>X</m:t>
            </m:r>
          </m:e>
          <m:sub>
            <m:r>
              <m:t>2</m:t>
            </m:r>
          </m:sub>
        </m:sSub>
      </m:oMath>
      <w:r>
        <w:t xml:space="preserve">), wall area (</w:t>
      </w:r>
      <m:oMath>
        <m:sSub>
          <m:e>
            <m:r>
              <m:t>X</m:t>
            </m:r>
          </m:e>
          <m:sub>
            <m:r>
              <m:t>3</m:t>
            </m:r>
          </m:sub>
        </m:sSub>
      </m:oMath>
      <w:r>
        <w:t xml:space="preserve">), roof area (</w:t>
      </w:r>
      <m:oMath>
        <m:sSub>
          <m:e>
            <m:r>
              <m:t>X</m:t>
            </m:r>
          </m:e>
          <m:sub>
            <m:r>
              <m:t>4</m:t>
            </m:r>
          </m:sub>
        </m:sSub>
      </m:oMath>
      <w:r>
        <w:t xml:space="preserve">), overall height (</w:t>
      </w:r>
      <m:oMath>
        <m:sSub>
          <m:e>
            <m:r>
              <m:t>X</m:t>
            </m:r>
          </m:e>
          <m:sub>
            <m:r>
              <m:t>5</m:t>
            </m:r>
          </m:sub>
        </m:sSub>
      </m:oMath>
      <w:r>
        <w:t xml:space="preserve">), orientation (</w:t>
      </w:r>
      <m:oMath>
        <m:sSub>
          <m:e>
            <m:r>
              <m:t>X</m:t>
            </m:r>
          </m:e>
          <m:sub>
            <m:r>
              <m:t>6</m:t>
            </m:r>
          </m:sub>
        </m:sSub>
      </m:oMath>
      <w:r>
        <w:t xml:space="preserve">, four values), glazing area (</w:t>
      </w:r>
      <m:oMath>
        <m:sSub>
          <m:e>
            <m:r>
              <m:t>X</m:t>
            </m:r>
          </m:e>
          <m:sub>
            <m:r>
              <m:t>7</m:t>
            </m:r>
          </m:sub>
        </m:sSub>
      </m:oMath>
      <w:r>
        <w:t xml:space="preserve">, four values: 0, 0.10, 0.25, 0.40 of floor area) and glazing-area distribution (</w:t>
      </w:r>
      <m:oMath>
        <m:sSub>
          <m:e>
            <m:r>
              <m:t>X</m:t>
            </m:r>
          </m:e>
          <m:sub>
            <m:r>
              <m:t>8</m:t>
            </m:r>
          </m:sub>
        </m:sSub>
      </m:oMath>
      <w:r>
        <w:t xml:space="preserve">, six values). The two targets are the heating load</w:t>
      </w:r>
      <w:r>
        <w:t xml:space="preserve"> </w:t>
      </w:r>
      <m:oMath>
        <m:sSub>
          <m:e>
            <m:r>
              <m:t>Y</m:t>
            </m:r>
          </m:e>
          <m:sub>
            <m:r>
              <m:t>1</m:t>
            </m:r>
          </m:sub>
        </m:sSub>
      </m:oMath>
      <w:r>
        <w:t xml:space="preserve"> </w:t>
      </w:r>
      <w:r>
        <w:t xml:space="preserve">and cooling load</w:t>
      </w:r>
      <w:r>
        <w:t xml:space="preserve"> </w:t>
      </w:r>
      <m:oMath>
        <m:sSub>
          <m:e>
            <m:r>
              <m:t>Y</m:t>
            </m:r>
          </m:e>
          <m:sub>
            <m:r>
              <m:t>2</m:t>
            </m:r>
          </m:sub>
        </m:sSub>
      </m:oMath>
      <w:r>
        <w:t xml:space="preserve">. There are no missing values and no duplicate rows. Attributes</w:t>
      </w:r>
      <w:r>
        <w:t xml:space="preserve"> </w:t>
      </w:r>
      <m:oMath>
        <m:sSub>
          <m:e>
            <m:r>
              <m:t>X</m:t>
            </m:r>
          </m:e>
          <m:sub>
            <m:r>
              <m:t>1</m:t>
            </m:r>
          </m:sub>
        </m:sSub>
      </m:oMath>
      <w:r>
        <w:t xml:space="preserve">–</w:t>
      </w:r>
      <m:oMath>
        <m:sSub>
          <m:e>
            <m:r>
              <m:t>X</m:t>
            </m:r>
          </m:e>
          <m:sub>
            <m:r>
              <m:t>5</m:t>
            </m:r>
          </m:sub>
        </m:sSub>
      </m:oMath>
      <w:r>
        <w:t xml:space="preserve"> </w:t>
      </w:r>
      <w:r>
        <w:t xml:space="preserve">take exactly twelve combinations, each shared by 64 rows (four orientations times sixteen glazing configurations); we call each combination a</w:t>
      </w:r>
      <w:r>
        <w:t xml:space="preserve"> </w:t>
      </w:r>
      <w:r>
        <w:rPr>
          <w:i/>
          <w:iCs/>
        </w:rPr>
        <w:t xml:space="preserve">geometry</w:t>
      </w:r>
      <w:r>
        <w:t xml:space="preserve"> </w:t>
      </w:r>
      <w:r>
        <w:t xml:space="preserve">(Table 4). Six geometries are 7 m high and six are 3.5 m high. The between-geometry share of the target variance is 0.91 (heating) and 0.93 (cooling). Because the data are produced by a deterministic simulation, there is no measurement noise: all variation within a geometry is explained by orientation and glazing.</w:t>
      </w:r>
    </w:p>
    <w:p>
      <w:pPr>
        <w:pStyle w:val="TableCaption"/>
      </w:pPr>
      <w:r>
        <w:t xml:space="preserve">Table 4. The twelve ENB2012 geometries and their mean loads (kWh/m²) over the 64 variants.</w:t>
      </w:r>
    </w:p>
    <w:tbl>
      <w:tblPr>
        <w:tblStyle w:val="Table"/>
        <w:tblW w:w="9071" w:type="dxa"/>
        <w:tblBorders>
          <w:top w:val="single" w:sz="12" w:space="0" w:color="000000"/>
          <w:left w:val="nil"/>
          <w:bottom w:val="single" w:sz="12"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Caption w:val="Table 4. The twelve ENB2012 geometries and their mean loads (kWh/m²) over the 64 variants."/>
      </w:tblPr>
      <w:tblGrid>
        <w:gridCol w:w="1333"/>
        <w:gridCol w:w="1067"/>
        <w:gridCol w:w="1067"/>
        <w:gridCol w:w="1067"/>
        <w:gridCol w:w="1067"/>
        <w:gridCol w:w="1067"/>
        <w:gridCol w:w="1200"/>
        <w:gridCol w:w="1200"/>
      </w:tblGrid>
      <w:tr>
        <w:trPr>
          <w:cantSplit w:val="true"/>
          <w:tblHeader w:val="on"/>
          <w:tblHeader w:val="true"/>
        </w:trPr>
        <w:tc>
          <w:tcPr>
            <w:tcW w:w="1333" w:type="dxa"/>
            <w:tcBorders>
              <w:bottom w:val="single" w:sz="6" w:space="0" w:color="000000"/>
            </w:tcBorders>
          </w:tcPr>
          <w:p>
            <w:pPr>
              <w:pStyle w:val="Compact"/>
              <w:keepLines/>
              <w:jc w:val="right"/>
            </w:pPr>
            <w:r>
              <w:rPr>
                <w:b/>
                <w:sz w:val="16"/>
              </w:rPr>
              <w:t xml:space="preserve">Geometry</w:t>
            </w:r>
          </w:p>
        </w:tc>
        <w:tc>
          <w:tcPr>
            <w:tcW w:w="1067" w:type="dxa"/>
            <w:tcBorders>
              <w:bottom w:val="single" w:sz="6" w:space="0" w:color="000000"/>
            </w:tcBorders>
          </w:tcPr>
          <w:p>
            <w:pPr>
              <w:pStyle w:val="Compact"/>
              <w:keepLines/>
              <w:jc w:val="right"/>
            </w:pPr>
            <m:oMath>
              <m:sSub>
                <m:e>
                  <m:r>
                    <m:t>X</m:t>
                  </m:r>
                </m:e>
                <m:sub>
                  <m:r>
                    <m:t>1</m:t>
                  </m:r>
                </m:sub>
              </m:sSub>
            </m:oMath>
          </w:p>
        </w:tc>
        <w:tc>
          <w:tcPr>
            <w:tcW w:w="1067" w:type="dxa"/>
            <w:tcBorders>
              <w:bottom w:val="single" w:sz="6" w:space="0" w:color="000000"/>
            </w:tcBorders>
          </w:tcPr>
          <w:p>
            <w:pPr>
              <w:pStyle w:val="Compact"/>
              <w:keepLines/>
              <w:jc w:val="right"/>
            </w:pPr>
            <m:oMath>
              <m:sSub>
                <m:e>
                  <m:r>
                    <m:t>X</m:t>
                  </m:r>
                </m:e>
                <m:sub>
                  <m:r>
                    <m:t>2</m:t>
                  </m:r>
                </m:sub>
              </m:sSub>
            </m:oMath>
          </w:p>
        </w:tc>
        <w:tc>
          <w:tcPr>
            <w:tcW w:w="1067" w:type="dxa"/>
            <w:tcBorders>
              <w:bottom w:val="single" w:sz="6" w:space="0" w:color="000000"/>
            </w:tcBorders>
          </w:tcPr>
          <w:p>
            <w:pPr>
              <w:pStyle w:val="Compact"/>
              <w:keepLines/>
              <w:jc w:val="right"/>
            </w:pPr>
            <m:oMath>
              <m:sSub>
                <m:e>
                  <m:r>
                    <m:t>X</m:t>
                  </m:r>
                </m:e>
                <m:sub>
                  <m:r>
                    <m:t>3</m:t>
                  </m:r>
                </m:sub>
              </m:sSub>
            </m:oMath>
          </w:p>
        </w:tc>
        <w:tc>
          <w:tcPr>
            <w:tcW w:w="1067" w:type="dxa"/>
            <w:tcBorders>
              <w:bottom w:val="single" w:sz="6" w:space="0" w:color="000000"/>
            </w:tcBorders>
          </w:tcPr>
          <w:p>
            <w:pPr>
              <w:pStyle w:val="Compact"/>
              <w:keepLines/>
              <w:jc w:val="right"/>
            </w:pPr>
            <m:oMath>
              <m:sSub>
                <m:e>
                  <m:r>
                    <m:t>X</m:t>
                  </m:r>
                </m:e>
                <m:sub>
                  <m:r>
                    <m:t>4</m:t>
                  </m:r>
                </m:sub>
              </m:sSub>
            </m:oMath>
          </w:p>
        </w:tc>
        <w:tc>
          <w:tcPr>
            <w:tcW w:w="1067" w:type="dxa"/>
            <w:tcBorders>
              <w:bottom w:val="single" w:sz="6" w:space="0" w:color="000000"/>
            </w:tcBorders>
          </w:tcPr>
          <w:p>
            <w:pPr>
              <w:pStyle w:val="Compact"/>
              <w:keepLines/>
              <w:jc w:val="right"/>
            </w:pPr>
            <m:oMath>
              <m:sSub>
                <m:e>
                  <m:r>
                    <m:t>X</m:t>
                  </m:r>
                </m:e>
                <m:sub>
                  <m:r>
                    <m:t>5</m:t>
                  </m:r>
                </m:sub>
              </m:sSub>
            </m:oMath>
          </w:p>
        </w:tc>
        <w:tc>
          <w:tcPr>
            <w:tcW w:w="1200" w:type="dxa"/>
            <w:tcBorders>
              <w:bottom w:val="single" w:sz="6" w:space="0" w:color="000000"/>
            </w:tcBorders>
          </w:tcPr>
          <w:p>
            <w:pPr>
              <w:pStyle w:val="Compact"/>
              <w:keepLines/>
              <w:jc w:val="right"/>
            </w:pPr>
            <w:r>
              <w:rPr>
                <w:b/>
                <w:sz w:val="16"/>
              </w:rPr>
              <w:t xml:space="preserve">Heating</w:t>
            </w:r>
          </w:p>
        </w:tc>
        <w:tc>
          <w:tcPr>
            <w:tcW w:w="1200" w:type="dxa"/>
            <w:tcBorders>
              <w:bottom w:val="single" w:sz="6" w:space="0" w:color="000000"/>
            </w:tcBorders>
          </w:tcPr>
          <w:p>
            <w:pPr>
              <w:pStyle w:val="Compact"/>
              <w:keepLines/>
              <w:jc w:val="right"/>
            </w:pPr>
            <w:r>
              <w:rPr>
                <w:b/>
                <w:sz w:val="16"/>
              </w:rPr>
              <w:t xml:space="preserve">Cooling</w:t>
            </w:r>
          </w:p>
        </w:tc>
      </w:tr>
      <w:tr>
        <w:trPr>
          <w:cantSplit w:val="true"/>
        </w:trPr>
        <w:tc>
          <w:tcPr>
            <w:tcW w:w="1333" w:type="dxa"/>
          </w:tcPr>
          <w:p>
            <w:pPr>
              <w:pStyle w:val="Compact"/>
              <w:keepLines/>
              <w:jc w:val="right"/>
            </w:pPr>
            <w:r>
              <w:rPr>
                <w:sz w:val="16"/>
              </w:rPr>
              <w:t xml:space="preserve">1</w:t>
            </w:r>
          </w:p>
        </w:tc>
        <w:tc>
          <w:tcPr>
            <w:tcW w:w="1067" w:type="dxa"/>
          </w:tcPr>
          <w:p>
            <w:pPr>
              <w:pStyle w:val="Compact"/>
              <w:keepLines/>
              <w:jc w:val="right"/>
            </w:pPr>
            <w:r>
              <w:rPr>
                <w:sz w:val="16"/>
              </w:rPr>
              <w:t xml:space="preserve">0.98</w:t>
            </w:r>
          </w:p>
        </w:tc>
        <w:tc>
          <w:tcPr>
            <w:tcW w:w="1067" w:type="dxa"/>
          </w:tcPr>
          <w:p>
            <w:pPr>
              <w:pStyle w:val="Compact"/>
              <w:keepLines/>
              <w:jc w:val="right"/>
            </w:pPr>
            <w:r>
              <w:rPr>
                <w:sz w:val="16"/>
              </w:rPr>
              <w:t xml:space="preserve">514.5</w:t>
            </w:r>
          </w:p>
        </w:tc>
        <w:tc>
          <w:tcPr>
            <w:tcW w:w="1067" w:type="dxa"/>
          </w:tcPr>
          <w:p>
            <w:pPr>
              <w:pStyle w:val="Compact"/>
              <w:keepLines/>
              <w:jc w:val="right"/>
            </w:pPr>
            <w:r>
              <w:rPr>
                <w:sz w:val="16"/>
              </w:rPr>
              <w:t xml:space="preserve">294.0</w:t>
            </w:r>
          </w:p>
        </w:tc>
        <w:tc>
          <w:tcPr>
            <w:tcW w:w="1067" w:type="dxa"/>
          </w:tcPr>
          <w:p>
            <w:pPr>
              <w:pStyle w:val="Compact"/>
              <w:keepLines/>
              <w:jc w:val="right"/>
            </w:pPr>
            <w:r>
              <w:rPr>
                <w:sz w:val="16"/>
              </w:rPr>
              <w:t xml:space="preserve">110.25</w:t>
            </w:r>
          </w:p>
        </w:tc>
        <w:tc>
          <w:tcPr>
            <w:tcW w:w="1067" w:type="dxa"/>
          </w:tcPr>
          <w:p>
            <w:pPr>
              <w:pStyle w:val="Compact"/>
              <w:keepLines/>
              <w:jc w:val="right"/>
            </w:pPr>
            <w:r>
              <w:rPr>
                <w:sz w:val="16"/>
              </w:rPr>
              <w:t xml:space="preserve">7.0</w:t>
            </w:r>
          </w:p>
        </w:tc>
        <w:tc>
          <w:tcPr>
            <w:tcW w:w="1200" w:type="dxa"/>
          </w:tcPr>
          <w:p>
            <w:pPr>
              <w:pStyle w:val="Compact"/>
              <w:keepLines/>
              <w:jc w:val="right"/>
            </w:pPr>
            <w:r>
              <w:rPr>
                <w:sz w:val="16"/>
              </w:rPr>
              <w:t xml:space="preserve">27.65</w:t>
            </w:r>
          </w:p>
        </w:tc>
        <w:tc>
          <w:tcPr>
            <w:tcW w:w="1200" w:type="dxa"/>
          </w:tcPr>
          <w:p>
            <w:pPr>
              <w:pStyle w:val="Compact"/>
              <w:keepLines/>
              <w:jc w:val="right"/>
            </w:pPr>
            <w:r>
              <w:rPr>
                <w:sz w:val="16"/>
              </w:rPr>
              <w:t xml:space="preserve">29.22</w:t>
            </w:r>
          </w:p>
        </w:tc>
      </w:tr>
      <w:tr>
        <w:trPr>
          <w:cantSplit w:val="true"/>
        </w:trPr>
        <w:tc>
          <w:tcPr>
            <w:tcW w:w="1333" w:type="dxa"/>
          </w:tcPr>
          <w:p>
            <w:pPr>
              <w:pStyle w:val="Compact"/>
              <w:keepLines/>
              <w:jc w:val="right"/>
            </w:pPr>
            <w:r>
              <w:rPr>
                <w:sz w:val="16"/>
              </w:rPr>
              <w:t xml:space="preserve">2</w:t>
            </w:r>
          </w:p>
        </w:tc>
        <w:tc>
          <w:tcPr>
            <w:tcW w:w="1067" w:type="dxa"/>
          </w:tcPr>
          <w:p>
            <w:pPr>
              <w:pStyle w:val="Compact"/>
              <w:keepLines/>
              <w:jc w:val="right"/>
            </w:pPr>
            <w:r>
              <w:rPr>
                <w:sz w:val="16"/>
              </w:rPr>
              <w:t xml:space="preserve">0.90</w:t>
            </w:r>
          </w:p>
        </w:tc>
        <w:tc>
          <w:tcPr>
            <w:tcW w:w="1067" w:type="dxa"/>
          </w:tcPr>
          <w:p>
            <w:pPr>
              <w:pStyle w:val="Compact"/>
              <w:keepLines/>
              <w:jc w:val="right"/>
            </w:pPr>
            <w:r>
              <w:rPr>
                <w:sz w:val="16"/>
              </w:rPr>
              <w:t xml:space="preserve">563.5</w:t>
            </w:r>
          </w:p>
        </w:tc>
        <w:tc>
          <w:tcPr>
            <w:tcW w:w="1067" w:type="dxa"/>
          </w:tcPr>
          <w:p>
            <w:pPr>
              <w:pStyle w:val="Compact"/>
              <w:keepLines/>
              <w:jc w:val="right"/>
            </w:pPr>
            <w:r>
              <w:rPr>
                <w:sz w:val="16"/>
              </w:rPr>
              <w:t xml:space="preserve">318.5</w:t>
            </w:r>
          </w:p>
        </w:tc>
        <w:tc>
          <w:tcPr>
            <w:tcW w:w="1067" w:type="dxa"/>
          </w:tcPr>
          <w:p>
            <w:pPr>
              <w:pStyle w:val="Compact"/>
              <w:keepLines/>
              <w:jc w:val="right"/>
            </w:pPr>
            <w:r>
              <w:rPr>
                <w:sz w:val="16"/>
              </w:rPr>
              <w:t xml:space="preserve">122.50</w:t>
            </w:r>
          </w:p>
        </w:tc>
        <w:tc>
          <w:tcPr>
            <w:tcW w:w="1067" w:type="dxa"/>
          </w:tcPr>
          <w:p>
            <w:pPr>
              <w:pStyle w:val="Compact"/>
              <w:keepLines/>
              <w:jc w:val="right"/>
            </w:pPr>
            <w:r>
              <w:rPr>
                <w:sz w:val="16"/>
              </w:rPr>
              <w:t xml:space="preserve">7.0</w:t>
            </w:r>
          </w:p>
        </w:tc>
        <w:tc>
          <w:tcPr>
            <w:tcW w:w="1200" w:type="dxa"/>
          </w:tcPr>
          <w:p>
            <w:pPr>
              <w:pStyle w:val="Compact"/>
              <w:keepLines/>
              <w:jc w:val="right"/>
            </w:pPr>
            <w:r>
              <w:rPr>
                <w:sz w:val="16"/>
              </w:rPr>
              <w:t xml:space="preserve">31.63</w:t>
            </w:r>
          </w:p>
        </w:tc>
        <w:tc>
          <w:tcPr>
            <w:tcW w:w="1200" w:type="dxa"/>
          </w:tcPr>
          <w:p>
            <w:pPr>
              <w:pStyle w:val="Compact"/>
              <w:keepLines/>
              <w:jc w:val="right"/>
            </w:pPr>
            <w:r>
              <w:rPr>
                <w:sz w:val="16"/>
              </w:rPr>
              <w:t xml:space="preserve">33.82</w:t>
            </w:r>
          </w:p>
        </w:tc>
      </w:tr>
      <w:tr>
        <w:trPr>
          <w:cantSplit w:val="true"/>
        </w:trPr>
        <w:tc>
          <w:tcPr>
            <w:tcW w:w="1333" w:type="dxa"/>
          </w:tcPr>
          <w:p>
            <w:pPr>
              <w:pStyle w:val="Compact"/>
              <w:keepLines/>
              <w:jc w:val="right"/>
            </w:pPr>
            <w:r>
              <w:rPr>
                <w:sz w:val="16"/>
              </w:rPr>
              <w:t xml:space="preserve">3</w:t>
            </w:r>
          </w:p>
        </w:tc>
        <w:tc>
          <w:tcPr>
            <w:tcW w:w="1067" w:type="dxa"/>
          </w:tcPr>
          <w:p>
            <w:pPr>
              <w:pStyle w:val="Compact"/>
              <w:keepLines/>
              <w:jc w:val="right"/>
            </w:pPr>
            <w:r>
              <w:rPr>
                <w:sz w:val="16"/>
              </w:rPr>
              <w:t xml:space="preserve">0.86</w:t>
            </w:r>
          </w:p>
        </w:tc>
        <w:tc>
          <w:tcPr>
            <w:tcW w:w="1067" w:type="dxa"/>
          </w:tcPr>
          <w:p>
            <w:pPr>
              <w:pStyle w:val="Compact"/>
              <w:keepLines/>
              <w:jc w:val="right"/>
            </w:pPr>
            <w:r>
              <w:rPr>
                <w:sz w:val="16"/>
              </w:rPr>
              <w:t xml:space="preserve">588.0</w:t>
            </w:r>
          </w:p>
        </w:tc>
        <w:tc>
          <w:tcPr>
            <w:tcW w:w="1067" w:type="dxa"/>
          </w:tcPr>
          <w:p>
            <w:pPr>
              <w:pStyle w:val="Compact"/>
              <w:keepLines/>
              <w:jc w:val="right"/>
            </w:pPr>
            <w:r>
              <w:rPr>
                <w:sz w:val="16"/>
              </w:rPr>
              <w:t xml:space="preserve">294.0</w:t>
            </w:r>
          </w:p>
        </w:tc>
        <w:tc>
          <w:tcPr>
            <w:tcW w:w="1067" w:type="dxa"/>
          </w:tcPr>
          <w:p>
            <w:pPr>
              <w:pStyle w:val="Compact"/>
              <w:keepLines/>
              <w:jc w:val="right"/>
            </w:pPr>
            <w:r>
              <w:rPr>
                <w:sz w:val="16"/>
              </w:rPr>
              <w:t xml:space="preserve">147.00</w:t>
            </w:r>
          </w:p>
        </w:tc>
        <w:tc>
          <w:tcPr>
            <w:tcW w:w="1067" w:type="dxa"/>
          </w:tcPr>
          <w:p>
            <w:pPr>
              <w:pStyle w:val="Compact"/>
              <w:keepLines/>
              <w:jc w:val="right"/>
            </w:pPr>
            <w:r>
              <w:rPr>
                <w:sz w:val="16"/>
              </w:rPr>
              <w:t xml:space="preserve">7.0</w:t>
            </w:r>
          </w:p>
        </w:tc>
        <w:tc>
          <w:tcPr>
            <w:tcW w:w="1200" w:type="dxa"/>
          </w:tcPr>
          <w:p>
            <w:pPr>
              <w:pStyle w:val="Compact"/>
              <w:keepLines/>
              <w:jc w:val="right"/>
            </w:pPr>
            <w:r>
              <w:rPr>
                <w:sz w:val="16"/>
              </w:rPr>
              <w:t xml:space="preserve">28.55</w:t>
            </w:r>
          </w:p>
        </w:tc>
        <w:tc>
          <w:tcPr>
            <w:tcW w:w="1200" w:type="dxa"/>
          </w:tcPr>
          <w:p>
            <w:pPr>
              <w:pStyle w:val="Compact"/>
              <w:keepLines/>
              <w:jc w:val="right"/>
            </w:pPr>
            <w:r>
              <w:rPr>
                <w:sz w:val="16"/>
              </w:rPr>
              <w:t xml:space="preserve">30.91</w:t>
            </w:r>
          </w:p>
        </w:tc>
      </w:tr>
      <w:tr>
        <w:trPr>
          <w:cantSplit w:val="true"/>
        </w:trPr>
        <w:tc>
          <w:tcPr>
            <w:tcW w:w="1333" w:type="dxa"/>
          </w:tcPr>
          <w:p>
            <w:pPr>
              <w:pStyle w:val="Compact"/>
              <w:keepLines/>
              <w:jc w:val="right"/>
            </w:pPr>
            <w:r>
              <w:rPr>
                <w:sz w:val="16"/>
              </w:rPr>
              <w:t xml:space="preserve">4</w:t>
            </w:r>
          </w:p>
        </w:tc>
        <w:tc>
          <w:tcPr>
            <w:tcW w:w="1067" w:type="dxa"/>
          </w:tcPr>
          <w:p>
            <w:pPr>
              <w:pStyle w:val="Compact"/>
              <w:keepLines/>
              <w:jc w:val="right"/>
            </w:pPr>
            <w:r>
              <w:rPr>
                <w:sz w:val="16"/>
              </w:rPr>
              <w:t xml:space="preserve">0.82</w:t>
            </w:r>
          </w:p>
        </w:tc>
        <w:tc>
          <w:tcPr>
            <w:tcW w:w="1067" w:type="dxa"/>
          </w:tcPr>
          <w:p>
            <w:pPr>
              <w:pStyle w:val="Compact"/>
              <w:keepLines/>
              <w:jc w:val="right"/>
            </w:pPr>
            <w:r>
              <w:rPr>
                <w:sz w:val="16"/>
              </w:rPr>
              <w:t xml:space="preserve">612.5</w:t>
            </w:r>
          </w:p>
        </w:tc>
        <w:tc>
          <w:tcPr>
            <w:tcW w:w="1067" w:type="dxa"/>
          </w:tcPr>
          <w:p>
            <w:pPr>
              <w:pStyle w:val="Compact"/>
              <w:keepLines/>
              <w:jc w:val="right"/>
            </w:pPr>
            <w:r>
              <w:rPr>
                <w:sz w:val="16"/>
              </w:rPr>
              <w:t xml:space="preserve">318.5</w:t>
            </w:r>
          </w:p>
        </w:tc>
        <w:tc>
          <w:tcPr>
            <w:tcW w:w="1067" w:type="dxa"/>
          </w:tcPr>
          <w:p>
            <w:pPr>
              <w:pStyle w:val="Compact"/>
              <w:keepLines/>
              <w:jc w:val="right"/>
            </w:pPr>
            <w:r>
              <w:rPr>
                <w:sz w:val="16"/>
              </w:rPr>
              <w:t xml:space="preserve">147.00</w:t>
            </w:r>
          </w:p>
        </w:tc>
        <w:tc>
          <w:tcPr>
            <w:tcW w:w="1067" w:type="dxa"/>
          </w:tcPr>
          <w:p>
            <w:pPr>
              <w:pStyle w:val="Compact"/>
              <w:keepLines/>
              <w:jc w:val="right"/>
            </w:pPr>
            <w:r>
              <w:rPr>
                <w:sz w:val="16"/>
              </w:rPr>
              <w:t xml:space="preserve">7.0</w:t>
            </w:r>
          </w:p>
        </w:tc>
        <w:tc>
          <w:tcPr>
            <w:tcW w:w="1200" w:type="dxa"/>
          </w:tcPr>
          <w:p>
            <w:pPr>
              <w:pStyle w:val="Compact"/>
              <w:keepLines/>
              <w:jc w:val="right"/>
            </w:pPr>
            <w:r>
              <w:rPr>
                <w:sz w:val="16"/>
              </w:rPr>
              <w:t xml:space="preserve">25.56</w:t>
            </w:r>
          </w:p>
        </w:tc>
        <w:tc>
          <w:tcPr>
            <w:tcW w:w="1200" w:type="dxa"/>
          </w:tcPr>
          <w:p>
            <w:pPr>
              <w:pStyle w:val="Compact"/>
              <w:keepLines/>
              <w:jc w:val="right"/>
            </w:pPr>
            <w:r>
              <w:rPr>
                <w:sz w:val="16"/>
              </w:rPr>
              <w:t xml:space="preserve">28.03</w:t>
            </w:r>
          </w:p>
        </w:tc>
      </w:tr>
      <w:tr>
        <w:trPr>
          <w:cantSplit w:val="true"/>
        </w:trPr>
        <w:tc>
          <w:tcPr>
            <w:tcW w:w="1333" w:type="dxa"/>
          </w:tcPr>
          <w:p>
            <w:pPr>
              <w:pStyle w:val="Compact"/>
              <w:keepLines/>
              <w:jc w:val="right"/>
            </w:pPr>
            <w:r>
              <w:rPr>
                <w:sz w:val="16"/>
              </w:rPr>
              <w:t xml:space="preserve">5</w:t>
            </w:r>
          </w:p>
        </w:tc>
        <w:tc>
          <w:tcPr>
            <w:tcW w:w="1067" w:type="dxa"/>
          </w:tcPr>
          <w:p>
            <w:pPr>
              <w:pStyle w:val="Compact"/>
              <w:keepLines/>
              <w:jc w:val="right"/>
            </w:pPr>
            <w:r>
              <w:rPr>
                <w:sz w:val="16"/>
              </w:rPr>
              <w:t xml:space="preserve">0.79</w:t>
            </w:r>
          </w:p>
        </w:tc>
        <w:tc>
          <w:tcPr>
            <w:tcW w:w="1067" w:type="dxa"/>
          </w:tcPr>
          <w:p>
            <w:pPr>
              <w:pStyle w:val="Compact"/>
              <w:keepLines/>
              <w:jc w:val="right"/>
            </w:pPr>
            <w:r>
              <w:rPr>
                <w:sz w:val="16"/>
              </w:rPr>
              <w:t xml:space="preserve">637.0</w:t>
            </w:r>
          </w:p>
        </w:tc>
        <w:tc>
          <w:tcPr>
            <w:tcW w:w="1067" w:type="dxa"/>
          </w:tcPr>
          <w:p>
            <w:pPr>
              <w:pStyle w:val="Compact"/>
              <w:keepLines/>
              <w:jc w:val="right"/>
            </w:pPr>
            <w:r>
              <w:rPr>
                <w:sz w:val="16"/>
              </w:rPr>
              <w:t xml:space="preserve">343.0</w:t>
            </w:r>
          </w:p>
        </w:tc>
        <w:tc>
          <w:tcPr>
            <w:tcW w:w="1067" w:type="dxa"/>
          </w:tcPr>
          <w:p>
            <w:pPr>
              <w:pStyle w:val="Compact"/>
              <w:keepLines/>
              <w:jc w:val="right"/>
            </w:pPr>
            <w:r>
              <w:rPr>
                <w:sz w:val="16"/>
              </w:rPr>
              <w:t xml:space="preserve">147.00</w:t>
            </w:r>
          </w:p>
        </w:tc>
        <w:tc>
          <w:tcPr>
            <w:tcW w:w="1067" w:type="dxa"/>
          </w:tcPr>
          <w:p>
            <w:pPr>
              <w:pStyle w:val="Compact"/>
              <w:keepLines/>
              <w:jc w:val="right"/>
            </w:pPr>
            <w:r>
              <w:rPr>
                <w:sz w:val="16"/>
              </w:rPr>
              <w:t xml:space="preserve">7.0</w:t>
            </w:r>
          </w:p>
        </w:tc>
        <w:tc>
          <w:tcPr>
            <w:tcW w:w="1200" w:type="dxa"/>
          </w:tcPr>
          <w:p>
            <w:pPr>
              <w:pStyle w:val="Compact"/>
              <w:keepLines/>
              <w:jc w:val="right"/>
            </w:pPr>
            <w:r>
              <w:rPr>
                <w:sz w:val="16"/>
              </w:rPr>
              <w:t xml:space="preserve">38.61</w:t>
            </w:r>
          </w:p>
        </w:tc>
        <w:tc>
          <w:tcPr>
            <w:tcW w:w="1200" w:type="dxa"/>
          </w:tcPr>
          <w:p>
            <w:pPr>
              <w:pStyle w:val="Compact"/>
              <w:keepLines/>
              <w:jc w:val="right"/>
            </w:pPr>
            <w:r>
              <w:rPr>
                <w:sz w:val="16"/>
              </w:rPr>
              <w:t xml:space="preserve">40.24</w:t>
            </w:r>
          </w:p>
        </w:tc>
      </w:tr>
      <w:tr>
        <w:trPr>
          <w:cantSplit w:val="true"/>
        </w:trPr>
        <w:tc>
          <w:tcPr>
            <w:tcW w:w="1333" w:type="dxa"/>
          </w:tcPr>
          <w:p>
            <w:pPr>
              <w:pStyle w:val="Compact"/>
              <w:keepLines/>
              <w:jc w:val="right"/>
            </w:pPr>
            <w:r>
              <w:rPr>
                <w:sz w:val="16"/>
              </w:rPr>
              <w:t xml:space="preserve">6</w:t>
            </w:r>
          </w:p>
        </w:tc>
        <w:tc>
          <w:tcPr>
            <w:tcW w:w="1067" w:type="dxa"/>
          </w:tcPr>
          <w:p>
            <w:pPr>
              <w:pStyle w:val="Compact"/>
              <w:keepLines/>
              <w:jc w:val="right"/>
            </w:pPr>
            <w:r>
              <w:rPr>
                <w:sz w:val="16"/>
              </w:rPr>
              <w:t xml:space="preserve">0.76</w:t>
            </w:r>
          </w:p>
        </w:tc>
        <w:tc>
          <w:tcPr>
            <w:tcW w:w="1067" w:type="dxa"/>
          </w:tcPr>
          <w:p>
            <w:pPr>
              <w:pStyle w:val="Compact"/>
              <w:keepLines/>
              <w:jc w:val="right"/>
            </w:pPr>
            <w:r>
              <w:rPr>
                <w:sz w:val="16"/>
              </w:rPr>
              <w:t xml:space="preserve">661.5</w:t>
            </w:r>
          </w:p>
        </w:tc>
        <w:tc>
          <w:tcPr>
            <w:tcW w:w="1067" w:type="dxa"/>
          </w:tcPr>
          <w:p>
            <w:pPr>
              <w:pStyle w:val="Compact"/>
              <w:keepLines/>
              <w:jc w:val="right"/>
            </w:pPr>
            <w:r>
              <w:rPr>
                <w:sz w:val="16"/>
              </w:rPr>
              <w:t xml:space="preserve">416.5</w:t>
            </w:r>
          </w:p>
        </w:tc>
        <w:tc>
          <w:tcPr>
            <w:tcW w:w="1067" w:type="dxa"/>
          </w:tcPr>
          <w:p>
            <w:pPr>
              <w:pStyle w:val="Compact"/>
              <w:keepLines/>
              <w:jc w:val="right"/>
            </w:pPr>
            <w:r>
              <w:rPr>
                <w:sz w:val="16"/>
              </w:rPr>
              <w:t xml:space="preserve">122.50</w:t>
            </w:r>
          </w:p>
        </w:tc>
        <w:tc>
          <w:tcPr>
            <w:tcW w:w="1067" w:type="dxa"/>
          </w:tcPr>
          <w:p>
            <w:pPr>
              <w:pStyle w:val="Compact"/>
              <w:keepLines/>
              <w:jc w:val="right"/>
            </w:pPr>
            <w:r>
              <w:rPr>
                <w:sz w:val="16"/>
              </w:rPr>
              <w:t xml:space="preserve">7.0</w:t>
            </w:r>
          </w:p>
        </w:tc>
        <w:tc>
          <w:tcPr>
            <w:tcW w:w="1200" w:type="dxa"/>
          </w:tcPr>
          <w:p>
            <w:pPr>
              <w:pStyle w:val="Compact"/>
              <w:keepLines/>
              <w:jc w:val="right"/>
            </w:pPr>
            <w:r>
              <w:rPr>
                <w:sz w:val="16"/>
              </w:rPr>
              <w:t xml:space="preserve">35.66</w:t>
            </w:r>
          </w:p>
        </w:tc>
        <w:tc>
          <w:tcPr>
            <w:tcW w:w="1200" w:type="dxa"/>
          </w:tcPr>
          <w:p>
            <w:pPr>
              <w:pStyle w:val="Compact"/>
              <w:keepLines/>
              <w:jc w:val="right"/>
            </w:pPr>
            <w:r>
              <w:rPr>
                <w:sz w:val="16"/>
              </w:rPr>
              <w:t xml:space="preserve">36.41</w:t>
            </w:r>
          </w:p>
        </w:tc>
      </w:tr>
      <w:tr>
        <w:trPr>
          <w:cantSplit w:val="true"/>
        </w:trPr>
        <w:tc>
          <w:tcPr>
            <w:tcW w:w="1333" w:type="dxa"/>
          </w:tcPr>
          <w:p>
            <w:pPr>
              <w:pStyle w:val="Compact"/>
              <w:keepLines/>
              <w:jc w:val="right"/>
            </w:pPr>
            <w:r>
              <w:rPr>
                <w:sz w:val="16"/>
              </w:rPr>
              <w:t xml:space="preserve">7</w:t>
            </w:r>
          </w:p>
        </w:tc>
        <w:tc>
          <w:tcPr>
            <w:tcW w:w="1067" w:type="dxa"/>
          </w:tcPr>
          <w:p>
            <w:pPr>
              <w:pStyle w:val="Compact"/>
              <w:keepLines/>
              <w:jc w:val="right"/>
            </w:pPr>
            <w:r>
              <w:rPr>
                <w:sz w:val="16"/>
              </w:rPr>
              <w:t xml:space="preserve">0.74</w:t>
            </w:r>
          </w:p>
        </w:tc>
        <w:tc>
          <w:tcPr>
            <w:tcW w:w="1067" w:type="dxa"/>
          </w:tcPr>
          <w:p>
            <w:pPr>
              <w:pStyle w:val="Compact"/>
              <w:keepLines/>
              <w:jc w:val="right"/>
            </w:pPr>
            <w:r>
              <w:rPr>
                <w:sz w:val="16"/>
              </w:rPr>
              <w:t xml:space="preserve">686.0</w:t>
            </w:r>
          </w:p>
        </w:tc>
        <w:tc>
          <w:tcPr>
            <w:tcW w:w="1067" w:type="dxa"/>
          </w:tcPr>
          <w:p>
            <w:pPr>
              <w:pStyle w:val="Compact"/>
              <w:keepLines/>
              <w:jc w:val="right"/>
            </w:pPr>
            <w:r>
              <w:rPr>
                <w:sz w:val="16"/>
              </w:rPr>
              <w:t xml:space="preserve">245.0</w:t>
            </w:r>
          </w:p>
        </w:tc>
        <w:tc>
          <w:tcPr>
            <w:tcW w:w="1067" w:type="dxa"/>
          </w:tcPr>
          <w:p>
            <w:pPr>
              <w:pStyle w:val="Compact"/>
              <w:keepLines/>
              <w:jc w:val="right"/>
            </w:pPr>
            <w:r>
              <w:rPr>
                <w:sz w:val="16"/>
              </w:rPr>
              <w:t xml:space="preserve">220.50</w:t>
            </w:r>
          </w:p>
        </w:tc>
        <w:tc>
          <w:tcPr>
            <w:tcW w:w="1067" w:type="dxa"/>
          </w:tcPr>
          <w:p>
            <w:pPr>
              <w:pStyle w:val="Compact"/>
              <w:keepLines/>
              <w:jc w:val="right"/>
            </w:pPr>
            <w:r>
              <w:rPr>
                <w:sz w:val="16"/>
              </w:rPr>
              <w:t xml:space="preserve">3.5</w:t>
            </w:r>
          </w:p>
        </w:tc>
        <w:tc>
          <w:tcPr>
            <w:tcW w:w="1200" w:type="dxa"/>
          </w:tcPr>
          <w:p>
            <w:pPr>
              <w:pStyle w:val="Compact"/>
              <w:keepLines/>
              <w:jc w:val="right"/>
            </w:pPr>
            <w:r>
              <w:rPr>
                <w:sz w:val="16"/>
              </w:rPr>
              <w:t xml:space="preserve">11.89</w:t>
            </w:r>
          </w:p>
        </w:tc>
        <w:tc>
          <w:tcPr>
            <w:tcW w:w="1200" w:type="dxa"/>
          </w:tcPr>
          <w:p>
            <w:pPr>
              <w:pStyle w:val="Compact"/>
              <w:keepLines/>
              <w:jc w:val="right"/>
            </w:pPr>
            <w:r>
              <w:rPr>
                <w:sz w:val="16"/>
              </w:rPr>
              <w:t xml:space="preserve">14.81</w:t>
            </w:r>
          </w:p>
        </w:tc>
      </w:tr>
      <w:tr>
        <w:trPr>
          <w:cantSplit w:val="true"/>
        </w:trPr>
        <w:tc>
          <w:tcPr>
            <w:tcW w:w="1333" w:type="dxa"/>
          </w:tcPr>
          <w:p>
            <w:pPr>
              <w:pStyle w:val="Compact"/>
              <w:keepLines/>
              <w:jc w:val="right"/>
            </w:pPr>
            <w:r>
              <w:rPr>
                <w:sz w:val="16"/>
              </w:rPr>
              <w:t xml:space="preserve">8</w:t>
            </w:r>
          </w:p>
        </w:tc>
        <w:tc>
          <w:tcPr>
            <w:tcW w:w="1067" w:type="dxa"/>
          </w:tcPr>
          <w:p>
            <w:pPr>
              <w:pStyle w:val="Compact"/>
              <w:keepLines/>
              <w:jc w:val="right"/>
            </w:pPr>
            <w:r>
              <w:rPr>
                <w:sz w:val="16"/>
              </w:rPr>
              <w:t xml:space="preserve">0.71</w:t>
            </w:r>
          </w:p>
        </w:tc>
        <w:tc>
          <w:tcPr>
            <w:tcW w:w="1067" w:type="dxa"/>
          </w:tcPr>
          <w:p>
            <w:pPr>
              <w:pStyle w:val="Compact"/>
              <w:keepLines/>
              <w:jc w:val="right"/>
            </w:pPr>
            <w:r>
              <w:rPr>
                <w:sz w:val="16"/>
              </w:rPr>
              <w:t xml:space="preserve">710.5</w:t>
            </w:r>
          </w:p>
        </w:tc>
        <w:tc>
          <w:tcPr>
            <w:tcW w:w="1067" w:type="dxa"/>
          </w:tcPr>
          <w:p>
            <w:pPr>
              <w:pStyle w:val="Compact"/>
              <w:keepLines/>
              <w:jc w:val="right"/>
            </w:pPr>
            <w:r>
              <w:rPr>
                <w:sz w:val="16"/>
              </w:rPr>
              <w:t xml:space="preserve">269.5</w:t>
            </w:r>
          </w:p>
        </w:tc>
        <w:tc>
          <w:tcPr>
            <w:tcW w:w="1067" w:type="dxa"/>
          </w:tcPr>
          <w:p>
            <w:pPr>
              <w:pStyle w:val="Compact"/>
              <w:keepLines/>
              <w:jc w:val="right"/>
            </w:pPr>
            <w:r>
              <w:rPr>
                <w:sz w:val="16"/>
              </w:rPr>
              <w:t xml:space="preserve">220.50</w:t>
            </w:r>
          </w:p>
        </w:tc>
        <w:tc>
          <w:tcPr>
            <w:tcW w:w="1067" w:type="dxa"/>
          </w:tcPr>
          <w:p>
            <w:pPr>
              <w:pStyle w:val="Compact"/>
              <w:keepLines/>
              <w:jc w:val="right"/>
            </w:pPr>
            <w:r>
              <w:rPr>
                <w:sz w:val="16"/>
              </w:rPr>
              <w:t xml:space="preserve">3.5</w:t>
            </w:r>
          </w:p>
        </w:tc>
        <w:tc>
          <w:tcPr>
            <w:tcW w:w="1200" w:type="dxa"/>
          </w:tcPr>
          <w:p>
            <w:pPr>
              <w:pStyle w:val="Compact"/>
              <w:keepLines/>
              <w:jc w:val="right"/>
            </w:pPr>
            <w:r>
              <w:rPr>
                <w:sz w:val="16"/>
              </w:rPr>
              <w:t xml:space="preserve">12.04</w:t>
            </w:r>
          </w:p>
        </w:tc>
        <w:tc>
          <w:tcPr>
            <w:tcW w:w="1200" w:type="dxa"/>
          </w:tcPr>
          <w:p>
            <w:pPr>
              <w:pStyle w:val="Compact"/>
              <w:keepLines/>
              <w:jc w:val="right"/>
            </w:pPr>
            <w:r>
              <w:rPr>
                <w:sz w:val="16"/>
              </w:rPr>
              <w:t xml:space="preserve">15.04</w:t>
            </w:r>
          </w:p>
        </w:tc>
      </w:tr>
      <w:tr>
        <w:trPr>
          <w:cantSplit w:val="true"/>
        </w:trPr>
        <w:tc>
          <w:tcPr>
            <w:tcW w:w="1333" w:type="dxa"/>
          </w:tcPr>
          <w:p>
            <w:pPr>
              <w:pStyle w:val="Compact"/>
              <w:keepLines/>
              <w:jc w:val="right"/>
            </w:pPr>
            <w:r>
              <w:rPr>
                <w:sz w:val="16"/>
              </w:rPr>
              <w:t xml:space="preserve">9</w:t>
            </w:r>
          </w:p>
        </w:tc>
        <w:tc>
          <w:tcPr>
            <w:tcW w:w="1067" w:type="dxa"/>
          </w:tcPr>
          <w:p>
            <w:pPr>
              <w:pStyle w:val="Compact"/>
              <w:keepLines/>
              <w:jc w:val="right"/>
            </w:pPr>
            <w:r>
              <w:rPr>
                <w:sz w:val="16"/>
              </w:rPr>
              <w:t xml:space="preserve">0.69</w:t>
            </w:r>
          </w:p>
        </w:tc>
        <w:tc>
          <w:tcPr>
            <w:tcW w:w="1067" w:type="dxa"/>
          </w:tcPr>
          <w:p>
            <w:pPr>
              <w:pStyle w:val="Compact"/>
              <w:keepLines/>
              <w:jc w:val="right"/>
            </w:pPr>
            <w:r>
              <w:rPr>
                <w:sz w:val="16"/>
              </w:rPr>
              <w:t xml:space="preserve">735.0</w:t>
            </w:r>
          </w:p>
        </w:tc>
        <w:tc>
          <w:tcPr>
            <w:tcW w:w="1067" w:type="dxa"/>
          </w:tcPr>
          <w:p>
            <w:pPr>
              <w:pStyle w:val="Compact"/>
              <w:keepLines/>
              <w:jc w:val="right"/>
            </w:pPr>
            <w:r>
              <w:rPr>
                <w:sz w:val="16"/>
              </w:rPr>
              <w:t xml:space="preserve">294.0</w:t>
            </w:r>
          </w:p>
        </w:tc>
        <w:tc>
          <w:tcPr>
            <w:tcW w:w="1067" w:type="dxa"/>
          </w:tcPr>
          <w:p>
            <w:pPr>
              <w:pStyle w:val="Compact"/>
              <w:keepLines/>
              <w:jc w:val="right"/>
            </w:pPr>
            <w:r>
              <w:rPr>
                <w:sz w:val="16"/>
              </w:rPr>
              <w:t xml:space="preserve">220.50</w:t>
            </w:r>
          </w:p>
        </w:tc>
        <w:tc>
          <w:tcPr>
            <w:tcW w:w="1067" w:type="dxa"/>
          </w:tcPr>
          <w:p>
            <w:pPr>
              <w:pStyle w:val="Compact"/>
              <w:keepLines/>
              <w:jc w:val="right"/>
            </w:pPr>
            <w:r>
              <w:rPr>
                <w:sz w:val="16"/>
              </w:rPr>
              <w:t xml:space="preserve">3.5</w:t>
            </w:r>
          </w:p>
        </w:tc>
        <w:tc>
          <w:tcPr>
            <w:tcW w:w="1200" w:type="dxa"/>
          </w:tcPr>
          <w:p>
            <w:pPr>
              <w:pStyle w:val="Compact"/>
              <w:keepLines/>
              <w:jc w:val="right"/>
            </w:pPr>
            <w:r>
              <w:rPr>
                <w:sz w:val="16"/>
              </w:rPr>
              <w:t xml:space="preserve">12.39</w:t>
            </w:r>
          </w:p>
        </w:tc>
        <w:tc>
          <w:tcPr>
            <w:tcW w:w="1200" w:type="dxa"/>
          </w:tcPr>
          <w:p>
            <w:pPr>
              <w:pStyle w:val="Compact"/>
              <w:keepLines/>
              <w:jc w:val="right"/>
            </w:pPr>
            <w:r>
              <w:rPr>
                <w:sz w:val="16"/>
              </w:rPr>
              <w:t xml:space="preserve">15.24</w:t>
            </w:r>
          </w:p>
        </w:tc>
      </w:tr>
      <w:tr>
        <w:trPr>
          <w:cantSplit w:val="true"/>
        </w:trPr>
        <w:tc>
          <w:tcPr>
            <w:tcW w:w="1333" w:type="dxa"/>
          </w:tcPr>
          <w:p>
            <w:pPr>
              <w:pStyle w:val="Compact"/>
              <w:keepLines/>
              <w:jc w:val="right"/>
            </w:pPr>
            <w:r>
              <w:rPr>
                <w:sz w:val="16"/>
              </w:rPr>
              <w:t xml:space="preserve">10</w:t>
            </w:r>
          </w:p>
        </w:tc>
        <w:tc>
          <w:tcPr>
            <w:tcW w:w="1067" w:type="dxa"/>
          </w:tcPr>
          <w:p>
            <w:pPr>
              <w:pStyle w:val="Compact"/>
              <w:keepLines/>
              <w:jc w:val="right"/>
            </w:pPr>
            <w:r>
              <w:rPr>
                <w:sz w:val="16"/>
              </w:rPr>
              <w:t xml:space="preserve">0.66</w:t>
            </w:r>
          </w:p>
        </w:tc>
        <w:tc>
          <w:tcPr>
            <w:tcW w:w="1067" w:type="dxa"/>
          </w:tcPr>
          <w:p>
            <w:pPr>
              <w:pStyle w:val="Compact"/>
              <w:keepLines/>
              <w:jc w:val="right"/>
            </w:pPr>
            <w:r>
              <w:rPr>
                <w:sz w:val="16"/>
              </w:rPr>
              <w:t xml:space="preserve">759.5</w:t>
            </w:r>
          </w:p>
        </w:tc>
        <w:tc>
          <w:tcPr>
            <w:tcW w:w="1067" w:type="dxa"/>
          </w:tcPr>
          <w:p>
            <w:pPr>
              <w:pStyle w:val="Compact"/>
              <w:keepLines/>
              <w:jc w:val="right"/>
            </w:pPr>
            <w:r>
              <w:rPr>
                <w:sz w:val="16"/>
              </w:rPr>
              <w:t xml:space="preserve">318.5</w:t>
            </w:r>
          </w:p>
        </w:tc>
        <w:tc>
          <w:tcPr>
            <w:tcW w:w="1067" w:type="dxa"/>
          </w:tcPr>
          <w:p>
            <w:pPr>
              <w:pStyle w:val="Compact"/>
              <w:keepLines/>
              <w:jc w:val="right"/>
            </w:pPr>
            <w:r>
              <w:rPr>
                <w:sz w:val="16"/>
              </w:rPr>
              <w:t xml:space="preserve">220.50</w:t>
            </w:r>
          </w:p>
        </w:tc>
        <w:tc>
          <w:tcPr>
            <w:tcW w:w="1067" w:type="dxa"/>
          </w:tcPr>
          <w:p>
            <w:pPr>
              <w:pStyle w:val="Compact"/>
              <w:keepLines/>
              <w:jc w:val="right"/>
            </w:pPr>
            <w:r>
              <w:rPr>
                <w:sz w:val="16"/>
              </w:rPr>
              <w:t xml:space="preserve">3.5</w:t>
            </w:r>
          </w:p>
        </w:tc>
        <w:tc>
          <w:tcPr>
            <w:tcW w:w="1200" w:type="dxa"/>
          </w:tcPr>
          <w:p>
            <w:pPr>
              <w:pStyle w:val="Compact"/>
              <w:keepLines/>
              <w:jc w:val="right"/>
            </w:pPr>
            <w:r>
              <w:rPr>
                <w:sz w:val="16"/>
              </w:rPr>
              <w:t xml:space="preserve">12.82</w:t>
            </w:r>
          </w:p>
        </w:tc>
        <w:tc>
          <w:tcPr>
            <w:tcW w:w="1200" w:type="dxa"/>
          </w:tcPr>
          <w:p>
            <w:pPr>
              <w:pStyle w:val="Compact"/>
              <w:keepLines/>
              <w:jc w:val="right"/>
            </w:pPr>
            <w:r>
              <w:rPr>
                <w:sz w:val="16"/>
              </w:rPr>
              <w:t xml:space="preserve">15.87</w:t>
            </w:r>
          </w:p>
        </w:tc>
      </w:tr>
      <w:tr>
        <w:trPr>
          <w:cantSplit w:val="true"/>
        </w:trPr>
        <w:tc>
          <w:tcPr>
            <w:tcW w:w="1333" w:type="dxa"/>
          </w:tcPr>
          <w:p>
            <w:pPr>
              <w:pStyle w:val="Compact"/>
              <w:keepLines/>
              <w:jc w:val="right"/>
            </w:pPr>
            <w:r>
              <w:rPr>
                <w:sz w:val="16"/>
              </w:rPr>
              <w:t xml:space="preserve">11</w:t>
            </w:r>
          </w:p>
        </w:tc>
        <w:tc>
          <w:tcPr>
            <w:tcW w:w="1067" w:type="dxa"/>
          </w:tcPr>
          <w:p>
            <w:pPr>
              <w:pStyle w:val="Compact"/>
              <w:keepLines/>
              <w:jc w:val="right"/>
            </w:pPr>
            <w:r>
              <w:rPr>
                <w:sz w:val="16"/>
              </w:rPr>
              <w:t xml:space="preserve">0.64</w:t>
            </w:r>
          </w:p>
        </w:tc>
        <w:tc>
          <w:tcPr>
            <w:tcW w:w="1067" w:type="dxa"/>
          </w:tcPr>
          <w:p>
            <w:pPr>
              <w:pStyle w:val="Compact"/>
              <w:keepLines/>
              <w:jc w:val="right"/>
            </w:pPr>
            <w:r>
              <w:rPr>
                <w:sz w:val="16"/>
              </w:rPr>
              <w:t xml:space="preserve">784.0</w:t>
            </w:r>
          </w:p>
        </w:tc>
        <w:tc>
          <w:tcPr>
            <w:tcW w:w="1067" w:type="dxa"/>
          </w:tcPr>
          <w:p>
            <w:pPr>
              <w:pStyle w:val="Compact"/>
              <w:keepLines/>
              <w:jc w:val="right"/>
            </w:pPr>
            <w:r>
              <w:rPr>
                <w:sz w:val="16"/>
              </w:rPr>
              <w:t xml:space="preserve">343.0</w:t>
            </w:r>
          </w:p>
        </w:tc>
        <w:tc>
          <w:tcPr>
            <w:tcW w:w="1067" w:type="dxa"/>
          </w:tcPr>
          <w:p>
            <w:pPr>
              <w:pStyle w:val="Compact"/>
              <w:keepLines/>
              <w:jc w:val="right"/>
            </w:pPr>
            <w:r>
              <w:rPr>
                <w:sz w:val="16"/>
              </w:rPr>
              <w:t xml:space="preserve">220.50</w:t>
            </w:r>
          </w:p>
        </w:tc>
        <w:tc>
          <w:tcPr>
            <w:tcW w:w="1067" w:type="dxa"/>
          </w:tcPr>
          <w:p>
            <w:pPr>
              <w:pStyle w:val="Compact"/>
              <w:keepLines/>
              <w:jc w:val="right"/>
            </w:pPr>
            <w:r>
              <w:rPr>
                <w:sz w:val="16"/>
              </w:rPr>
              <w:t xml:space="preserve">3.5</w:t>
            </w:r>
          </w:p>
        </w:tc>
        <w:tc>
          <w:tcPr>
            <w:tcW w:w="1200" w:type="dxa"/>
          </w:tcPr>
          <w:p>
            <w:pPr>
              <w:pStyle w:val="Compact"/>
              <w:keepLines/>
              <w:jc w:val="right"/>
            </w:pPr>
            <w:r>
              <w:rPr>
                <w:sz w:val="16"/>
              </w:rPr>
              <w:t xml:space="preserve">16.62</w:t>
            </w:r>
          </w:p>
        </w:tc>
        <w:tc>
          <w:tcPr>
            <w:tcW w:w="1200" w:type="dxa"/>
          </w:tcPr>
          <w:p>
            <w:pPr>
              <w:pStyle w:val="Compact"/>
              <w:keepLines/>
              <w:jc w:val="right"/>
            </w:pPr>
            <w:r>
              <w:rPr>
                <w:sz w:val="16"/>
              </w:rPr>
              <w:t xml:space="preserve">20.23</w:t>
            </w:r>
          </w:p>
        </w:tc>
      </w:tr>
      <w:tr>
        <w:trPr>
          <w:cantSplit w:val="true"/>
        </w:trPr>
        <w:tc>
          <w:tcPr>
            <w:tcW w:w="1333" w:type="dxa"/>
          </w:tcPr>
          <w:p>
            <w:pPr>
              <w:pStyle w:val="Compact"/>
              <w:keepLines/>
              <w:jc w:val="right"/>
            </w:pPr>
            <w:r>
              <w:rPr>
                <w:sz w:val="16"/>
              </w:rPr>
              <w:t xml:space="preserve">12</w:t>
            </w:r>
          </w:p>
        </w:tc>
        <w:tc>
          <w:tcPr>
            <w:tcW w:w="1067" w:type="dxa"/>
          </w:tcPr>
          <w:p>
            <w:pPr>
              <w:pStyle w:val="Compact"/>
              <w:keepLines/>
              <w:jc w:val="right"/>
            </w:pPr>
            <w:r>
              <w:rPr>
                <w:sz w:val="16"/>
              </w:rPr>
              <w:t xml:space="preserve">0.62</w:t>
            </w:r>
          </w:p>
        </w:tc>
        <w:tc>
          <w:tcPr>
            <w:tcW w:w="1067" w:type="dxa"/>
          </w:tcPr>
          <w:p>
            <w:pPr>
              <w:pStyle w:val="Compact"/>
              <w:keepLines/>
              <w:jc w:val="right"/>
            </w:pPr>
            <w:r>
              <w:rPr>
                <w:sz w:val="16"/>
              </w:rPr>
              <w:t xml:space="preserve">808.5</w:t>
            </w:r>
          </w:p>
        </w:tc>
        <w:tc>
          <w:tcPr>
            <w:tcW w:w="1067" w:type="dxa"/>
          </w:tcPr>
          <w:p>
            <w:pPr>
              <w:pStyle w:val="Compact"/>
              <w:keepLines/>
              <w:jc w:val="right"/>
            </w:pPr>
            <w:r>
              <w:rPr>
                <w:sz w:val="16"/>
              </w:rPr>
              <w:t xml:space="preserve">367.5</w:t>
            </w:r>
          </w:p>
        </w:tc>
        <w:tc>
          <w:tcPr>
            <w:tcW w:w="1067" w:type="dxa"/>
          </w:tcPr>
          <w:p>
            <w:pPr>
              <w:pStyle w:val="Compact"/>
              <w:keepLines/>
              <w:jc w:val="right"/>
            </w:pPr>
            <w:r>
              <w:rPr>
                <w:sz w:val="16"/>
              </w:rPr>
              <w:t xml:space="preserve">220.50</w:t>
            </w:r>
          </w:p>
        </w:tc>
        <w:tc>
          <w:tcPr>
            <w:tcW w:w="1067" w:type="dxa"/>
          </w:tcPr>
          <w:p>
            <w:pPr>
              <w:pStyle w:val="Compact"/>
              <w:keepLines/>
              <w:jc w:val="right"/>
            </w:pPr>
            <w:r>
              <w:rPr>
                <w:sz w:val="16"/>
              </w:rPr>
              <w:t xml:space="preserve">3.5</w:t>
            </w:r>
          </w:p>
        </w:tc>
        <w:tc>
          <w:tcPr>
            <w:tcW w:w="1200" w:type="dxa"/>
          </w:tcPr>
          <w:p>
            <w:pPr>
              <w:pStyle w:val="Compact"/>
              <w:keepLines/>
              <w:jc w:val="right"/>
            </w:pPr>
            <w:r>
              <w:rPr>
                <w:sz w:val="16"/>
              </w:rPr>
              <w:t xml:space="preserve">14.28</w:t>
            </w:r>
          </w:p>
        </w:tc>
        <w:tc>
          <w:tcPr>
            <w:tcW w:w="1200" w:type="dxa"/>
          </w:tcPr>
          <w:p>
            <w:pPr>
              <w:pStyle w:val="Compact"/>
              <w:keepLines/>
              <w:jc w:val="right"/>
            </w:pPr>
            <w:r>
              <w:rPr>
                <w:sz w:val="16"/>
              </w:rPr>
              <w:t xml:space="preserve">15.24</w:t>
            </w:r>
          </w:p>
        </w:tc>
      </w:tr>
    </w:tbl>
    <w:p>
      <w:pPr>
        <w:pStyle w:val="BodyText"/>
      </w:pPr>
      <w:r>
        <w:t xml:space="preserve">The geometry grid has a one-dimensional backbone: relative compactness decreases and surface area increases monotonically from geometry 1 to 12, while height changes once, between geometries 6 and 7. A held-out geometry is therefore an interpolation if it lies between two training geometries of the same height and an extrapolation if it lies at an end of the grid (geometries 1, 6, 7 and 12) or if the height group is represented by few training geometries. We use this structure in Section 6.2.</w:t>
      </w:r>
    </w:p>
    <w:bookmarkEnd w:id="36"/>
    <w:bookmarkStart w:id="37" w:name="concrete-compressive-strength"/>
    <w:p>
      <w:pPr>
        <w:pStyle w:val="Heading2"/>
      </w:pPr>
      <w:r>
        <w:rPr>
          <w:rStyle w:val="SectionNumber"/>
        </w:rPr>
        <w:t xml:space="preserve">4.2</w:t>
      </w:r>
      <w:r>
        <w:tab/>
      </w:r>
      <w:r>
        <w:t xml:space="preserve">Concrete compressive strength</w:t>
      </w:r>
    </w:p>
    <w:p>
      <w:pPr>
        <w:pStyle w:val="FirstParagraph"/>
      </w:pPr>
      <w:r>
        <w:t xml:space="preserve">The dataset of Yeh contains 1,030 concrete samples with the quantities (kg/m³) of cement, blast-furnace slag, fly ash, water, superplasticizer, coarse aggregate and fine aggregate, the age of the specimen (1–365 days) and its compressive strength in MPa [9]. There are no missing values; 25 rows are exact duplicates. Rows that share all seven ingredient quantities belong to the same mix and differ in age and strength; this grouping gives 427 mixes with a median size of 1 and a maximum of 20 rows. Of these, 246 mixes occur once, and 784 of the 1,030 rows belong to mixes that occur more than once (Fig. 2b). The between-mix share of strength variance is 0.41, much lower than in the other datasets, because strength depends strongly on age within a mix and on composition across mixes.</w:t>
      </w:r>
    </w:p>
    <w:bookmarkEnd w:id="37"/>
    <w:bookmarkStart w:id="38" w:name="parkinsons-telemonitoring"/>
    <w:p>
      <w:pPr>
        <w:pStyle w:val="Heading2"/>
      </w:pPr>
      <w:r>
        <w:rPr>
          <w:rStyle w:val="SectionNumber"/>
        </w:rPr>
        <w:t xml:space="preserve">4.3</w:t>
      </w:r>
      <w:r>
        <w:tab/>
      </w:r>
      <w:r>
        <w:t xml:space="preserve">Parkinson’s telemonitoring</w:t>
      </w:r>
    </w:p>
    <w:p>
      <w:pPr>
        <w:pStyle w:val="FirstParagraph"/>
      </w:pPr>
      <w:r>
        <w:t xml:space="preserve">The Parkinson’s Telemonitoring dataset contains 5,875 voice recordings from 42 people with early-stage Parkinson’s disease in a six-month home-monitoring trial [10]. Each row contains the subject identifier, age, sex, the time since recruitment in days (</w:t>
      </w:r>
      <w:r>
        <w:rPr>
          <w:rStyle w:val="VerbatimChar"/>
        </w:rPr>
        <w:t xml:space="preserve">test_time</w:t>
      </w:r>
      <w:r>
        <w:t xml:space="preserve">), the motor and total UPDRS scores [36] interpolated to the recording date, and 16 voice measures (several variants of jitter and shimmer, noise-to-harmonics and harmonics-to-noise ratios, and the nonlinear measures RPDE, DFA and PPE). Patients contribute between 101 and 168 recordings. There are no missing values and no duplicate rows. Age and sex are constant within a patient and therefore identify the patient;</w:t>
      </w:r>
      <w:r>
        <w:t xml:space="preserve"> </w:t>
      </w:r>
      <w:r>
        <w:rPr>
          <w:rStyle w:val="VerbatimChar"/>
        </w:rPr>
        <w:t xml:space="preserve">test_time</w:t>
      </w:r>
      <w:r>
        <w:t xml:space="preserve"> </w:t>
      </w:r>
      <w:r>
        <w:t xml:space="preserve">places a recording on the patient’s disease trajectory. Between-patient differences account for 0.93 (total UPDRS) and 0.92 (motor UPDRS) of the variance (Fig. 2c, d). Unless stated otherwise we use all 19 features, which is the standard setup; Section 6.3 examines feature subsets.</w:t>
      </w:r>
    </w:p>
    <w:bookmarkEnd w:id="38"/>
    <w:bookmarkStart w:id="39" w:name="what-the-group-structure-implies"/>
    <w:p>
      <w:pPr>
        <w:pStyle w:val="Heading2"/>
      </w:pPr>
      <w:r>
        <w:rPr>
          <w:rStyle w:val="SectionNumber"/>
        </w:rPr>
        <w:t xml:space="preserve">4.4</w:t>
      </w:r>
      <w:r>
        <w:tab/>
      </w:r>
      <w:r>
        <w:t xml:space="preserve">What the group structure implies</w:t>
      </w:r>
    </w:p>
    <w:p>
      <w:pPr>
        <w:pStyle w:val="FirstParagraph"/>
      </w:pPr>
      <w:r>
        <w:t xml:space="preserve">The three datasets span a range of dependence. ENB2012 has few, large and deterministic groups with an extremely high ICC; Parkinson’s has few, large, noisy groups with an equally high ICC; Concrete has many small groups, nearly half of them singletons, and a moderate ICC. According to the theory in Section 3, we therefore expect severe inflation for flexible learners on the first two datasets and a mild effect on the third. The leaked fraction under random splitting is 100%, 75% and 100% for the three datasets (Section 6.1 and Eq. (12)).</w:t>
      </w:r>
    </w:p>
    <w:bookmarkEnd w:id="39"/>
    <w:bookmarkEnd w:id="40"/>
    <w:bookmarkStart w:id="48" w:name="experimental-design"/>
    <w:p>
      <w:pPr>
        <w:pStyle w:val="Heading1"/>
      </w:pPr>
      <w:r>
        <w:rPr>
          <w:rStyle w:val="SectionNumber"/>
        </w:rPr>
        <w:t xml:space="preserve">5</w:t>
      </w:r>
      <w:r>
        <w:tab/>
      </w:r>
      <w:r>
        <w:t xml:space="preserve">Experimental design</w:t>
      </w:r>
    </w:p>
    <w:bookmarkStart w:id="41" w:name="research-questions-and-hypotheses"/>
    <w:p>
      <w:pPr>
        <w:pStyle w:val="Heading2"/>
      </w:pPr>
      <w:r>
        <w:rPr>
          <w:rStyle w:val="SectionNumber"/>
        </w:rPr>
        <w:t xml:space="preserve">5.1</w:t>
      </w:r>
      <w:r>
        <w:tab/>
      </w:r>
      <w:r>
        <w:t xml:space="preserve">Research questions and hypotheses</w:t>
      </w:r>
    </w:p>
    <w:p>
      <w:pPr>
        <w:pStyle w:val="FirstParagraph"/>
      </w:pPr>
      <w:r>
        <w:t xml:space="preserve">The experiments are organised around five research questions (RQ), each with a hypothesis that follows from the theory in Section 3 and that could be falsified by the data.</w:t>
      </w:r>
    </w:p>
    <w:p>
      <w:pPr>
        <w:pStyle w:val="Compact"/>
        <w:numPr>
          <w:ilvl w:val="0"/>
          <w:numId w:val="1004"/>
        </w:numPr>
      </w:pPr>
      <w:r>
        <w:rPr>
          <w:b/>
          <w:bCs/>
        </w:rPr>
        <w:t xml:space="preserve">RQ1 (magnitude and model dependence).</w:t>
      </w:r>
      <w:r>
        <w:t xml:space="preserve"> </w:t>
      </w:r>
      <w:r>
        <w:t xml:space="preserve">How much does random splitting inflate accuracy relative to group-held-out splitting, and does the inflation depend on the model family?</w:t>
      </w:r>
      <w:r>
        <w:t xml:space="preserve"> </w:t>
      </w:r>
      <w:r>
        <w:rPr>
          <w:i/>
          <w:iCs/>
        </w:rPr>
        <w:t xml:space="preserve">H1:</w:t>
      </w:r>
      <w:r>
        <w:t xml:space="preserve"> </w:t>
      </w:r>
      <w:r>
        <w:t xml:space="preserve">the inflation is larger for models with higher memorisation capacity</w:t>
      </w:r>
      <w:r>
        <w:t xml:space="preserve"> </w:t>
      </w:r>
      <m:oMath>
        <m:r>
          <m:t>κ</m:t>
        </m:r>
      </m:oMath>
      <w:r>
        <w:t xml:space="preserve"> </w:t>
      </w:r>
      <w:r>
        <w:t xml:space="preserve">(tree ensembles) than for smooth models (ridge, kernel and neighbour methods), and larger for datasets with higher ICC and larger groups.</w:t>
      </w:r>
    </w:p>
    <w:p>
      <w:pPr>
        <w:pStyle w:val="Compact"/>
        <w:numPr>
          <w:ilvl w:val="0"/>
          <w:numId w:val="1004"/>
        </w:numPr>
      </w:pPr>
      <w:r>
        <w:rPr>
          <w:b/>
          <w:bCs/>
        </w:rPr>
        <w:t xml:space="preserve">RQ2 (predictability).</w:t>
      </w:r>
      <w:r>
        <w:t xml:space="preserve"> </w:t>
      </w:r>
      <w:r>
        <w:t xml:space="preserve">Can the inflation be predicted from group structure?</w:t>
      </w:r>
      <w:r>
        <w:t xml:space="preserve"> </w:t>
      </w:r>
      <w:r>
        <w:rPr>
          <w:i/>
          <w:iCs/>
        </w:rPr>
        <w:t xml:space="preserve">H2:</w:t>
      </w:r>
      <w:r>
        <w:t xml:space="preserve"> </w:t>
      </w:r>
      <w:r>
        <w:t xml:space="preserve">the inflation of a flexible learner is bounded by Eq. (6) evaluated with the group-offset share of its held-out residual, and Eq. (11) gives a lower bound on the group-specific share when the bound is exceeded.</w:t>
      </w:r>
    </w:p>
    <w:p>
      <w:pPr>
        <w:pStyle w:val="Compact"/>
        <w:numPr>
          <w:ilvl w:val="0"/>
          <w:numId w:val="1004"/>
        </w:numPr>
      </w:pPr>
      <w:r>
        <w:rPr>
          <w:b/>
          <w:bCs/>
        </w:rPr>
        <w:t xml:space="preserve">RQ3 (tuning leakage).</w:t>
      </w:r>
      <w:r>
        <w:t xml:space="preserve"> </w:t>
      </w:r>
      <w:r>
        <w:t xml:space="preserve">Does tuning with random inner folds degrade group-held-out performance?</w:t>
      </w:r>
      <w:r>
        <w:t xml:space="preserve"> </w:t>
      </w:r>
      <w:r>
        <w:rPr>
          <w:i/>
          <w:iCs/>
        </w:rPr>
        <w:t xml:space="preserve">H3:</w:t>
      </w:r>
      <w:r>
        <w:t xml:space="preserve"> </w:t>
      </w:r>
      <w:r>
        <w:t xml:space="preserve">yes for models whose capacity parameter controls memorisation (kernel width, neighbour count), less so for tree ensembles; the inner-error curves with random folds are minimised at higher capacity than the true held-out error.</w:t>
      </w:r>
    </w:p>
    <w:p>
      <w:pPr>
        <w:pStyle w:val="Compact"/>
        <w:numPr>
          <w:ilvl w:val="0"/>
          <w:numId w:val="1004"/>
        </w:numPr>
      </w:pPr>
      <w:r>
        <w:rPr>
          <w:b/>
          <w:bCs/>
        </w:rPr>
        <w:t xml:space="preserve">RQ4 (skill and remedies).</w:t>
      </w:r>
      <w:r>
        <w:t xml:space="preserve"> </w:t>
      </w:r>
      <w:r>
        <w:t xml:space="preserve">Do models retain skill, relative to the training-mean predictor, on unseen groups? Can a few rows from a new group restore accuracy?</w:t>
      </w:r>
      <w:r>
        <w:t xml:space="preserve"> </w:t>
      </w:r>
      <w:r>
        <w:rPr>
          <w:i/>
          <w:iCs/>
        </w:rPr>
        <w:t xml:space="preserve">H4:</w:t>
      </w:r>
      <w:r>
        <w:t xml:space="preserve"> </w:t>
      </w:r>
      <w:r>
        <w:t xml:space="preserve">skill is retained where the shared signal</w:t>
      </w:r>
      <w:r>
        <w:t xml:space="preserve"> </w:t>
      </w:r>
      <m:oMath>
        <m:r>
          <m:t>f</m:t>
        </m:r>
      </m:oMath>
      <w:r>
        <w:t xml:space="preserve"> </w:t>
      </w:r>
      <w:r>
        <w:t xml:space="preserve">is strong relative to group offsets (ENB2012, Concrete) and may vanish where it is weak (Parkinson’s).</w:t>
      </w:r>
    </w:p>
    <w:p>
      <w:pPr>
        <w:pStyle w:val="Compact"/>
        <w:numPr>
          <w:ilvl w:val="0"/>
          <w:numId w:val="1004"/>
        </w:numPr>
      </w:pPr>
      <w:r>
        <w:rPr>
          <w:b/>
          <w:bCs/>
        </w:rPr>
        <w:t xml:space="preserve">RQ5 (uncertainty and sensitivity).</w:t>
      </w:r>
      <w:r>
        <w:t xml:space="preserve"> </w:t>
      </w:r>
      <w:r>
        <w:t xml:space="preserve">Are the conclusions robust to the number of folds, to the assignment of groups to folds and to the number of training groups?</w:t>
      </w:r>
      <w:r>
        <w:t xml:space="preserve"> </w:t>
      </w:r>
      <w:r>
        <w:rPr>
          <w:i/>
          <w:iCs/>
        </w:rPr>
        <w:t xml:space="preserve">H5:</w:t>
      </w:r>
      <w:r>
        <w:t xml:space="preserve"> </w:t>
      </w:r>
      <w:r>
        <w:t xml:space="preserve">the point estimates of the grouped risk depend on the number of training groups (learning curve) but only weakly on</w:t>
      </w:r>
      <w:r>
        <w:t xml:space="preserve"> </w:t>
      </w:r>
      <m:oMath>
        <m:r>
          <m:t>K</m:t>
        </m:r>
      </m:oMath>
      <w:r>
        <w:t xml:space="preserve"> </w:t>
      </w:r>
      <w:r>
        <w:t xml:space="preserve">and the fold seed; intervals are wide when</w:t>
      </w:r>
      <w:r>
        <w:t xml:space="preserve"> </w:t>
      </w:r>
      <m:oMath>
        <m:r>
          <m:t>G</m:t>
        </m:r>
      </m:oMath>
      <w:r>
        <w:t xml:space="preserve"> </w:t>
      </w:r>
      <w:r>
        <w:t xml:space="preserve">is small.</w:t>
      </w:r>
    </w:p>
    <w:bookmarkEnd w:id="41"/>
    <w:bookmarkStart w:id="42" w:name="protocols"/>
    <w:p>
      <w:pPr>
        <w:pStyle w:val="Heading2"/>
      </w:pPr>
      <w:r>
        <w:rPr>
          <w:rStyle w:val="SectionNumber"/>
        </w:rPr>
        <w:t xml:space="preserve">5.2</w:t>
      </w:r>
      <w:r>
        <w:tab/>
      </w:r>
      <w:r>
        <w:t xml:space="preserve">Protocols</w:t>
      </w:r>
    </w:p>
    <w:p>
      <w:pPr>
        <w:pStyle w:val="FirstParagraph"/>
      </w:pPr>
      <w:r>
        <w:t xml:space="preserve">Two families of protocols are compared, both with</w:t>
      </w:r>
      <w:r>
        <w:t xml:space="preserve"> </w:t>
      </w:r>
      <m:oMath>
        <m:r>
          <m:t>K</m:t>
        </m:r>
      </m:oMath>
      <w:r>
        <w:t xml:space="preserve">-fold structure and both with nested hyper-parameter tuning.</w:t>
      </w:r>
    </w:p>
    <w:p>
      <w:pPr>
        <w:pStyle w:val="Compact"/>
        <w:numPr>
          <w:ilvl w:val="0"/>
          <w:numId w:val="1005"/>
        </w:numPr>
      </w:pPr>
      <w:r>
        <w:rPr>
          <w:b/>
          <w:bCs/>
        </w:rPr>
        <w:t xml:space="preserve">Random K-fold.</w:t>
      </w:r>
      <w:r>
        <w:t xml:space="preserve"> </w:t>
      </w:r>
      <w:r>
        <w:t xml:space="preserve">Rows are assigned to folds uniformly at random without regard to group. ENB2012 uses</w:t>
      </w:r>
      <w:r>
        <w:t xml:space="preserve"> </w:t>
      </w:r>
      <m:oMath>
        <m:r>
          <m:t>K</m:t>
        </m:r>
        <m:r>
          <m:rPr>
            <m:sty m:val="p"/>
          </m:rPr>
          <m:t>=</m:t>
        </m:r>
        <m:r>
          <m:t>12</m:t>
        </m:r>
      </m:oMath>
      <w:r>
        <w:t xml:space="preserve"> </w:t>
      </w:r>
      <w:r>
        <w:t xml:space="preserve">with 2 repeats (24 folds), Concrete</w:t>
      </w:r>
      <w:r>
        <w:t xml:space="preserve"> </w:t>
      </w:r>
      <m:oMath>
        <m:r>
          <m:t>K</m:t>
        </m:r>
        <m:r>
          <m:rPr>
            <m:sty m:val="p"/>
          </m:rPr>
          <m:t>=</m:t>
        </m:r>
        <m:r>
          <m:t>10</m:t>
        </m:r>
      </m:oMath>
      <w:r>
        <w:t xml:space="preserve"> </w:t>
      </w:r>
      <w:r>
        <w:t xml:space="preserve">with 2 repeats (20 folds), Parkinson’s</w:t>
      </w:r>
      <w:r>
        <w:t xml:space="preserve"> </w:t>
      </w:r>
      <m:oMath>
        <m:r>
          <m:t>K</m:t>
        </m:r>
        <m:r>
          <m:rPr>
            <m:sty m:val="p"/>
          </m:rPr>
          <m:t>=</m:t>
        </m:r>
        <m:r>
          <m:t>10</m:t>
        </m:r>
      </m:oMath>
      <w:r>
        <w:t xml:space="preserve"> </w:t>
      </w:r>
      <w:r>
        <w:t xml:space="preserve">with 1 repeat.</w:t>
      </w:r>
    </w:p>
    <w:p>
      <w:pPr>
        <w:pStyle w:val="Compact"/>
        <w:numPr>
          <w:ilvl w:val="0"/>
          <w:numId w:val="1005"/>
        </w:numPr>
      </w:pPr>
      <w:r>
        <w:rPr>
          <w:b/>
          <w:bCs/>
        </w:rPr>
        <w:t xml:space="preserve">Group-held-out K-fold.</w:t>
      </w:r>
      <w:r>
        <w:t xml:space="preserve"> </w:t>
      </w:r>
      <w:r>
        <w:t xml:space="preserve">Whole groups are assigned to folds. ENB2012 uses leave-one-geometry-out (12 folds, one geometry per fold); Concrete uses</w:t>
      </w:r>
      <w:r>
        <w:t xml:space="preserve"> </w:t>
      </w:r>
      <m:oMath>
        <m:r>
          <m:t>K</m:t>
        </m:r>
        <m:r>
          <m:rPr>
            <m:sty m:val="p"/>
          </m:rPr>
          <m:t>=</m:t>
        </m:r>
        <m:r>
          <m:t>10</m:t>
        </m:r>
      </m:oMath>
      <w:r>
        <w:t xml:space="preserve"> </w:t>
      </w:r>
      <w:r>
        <w:t xml:space="preserve">group folds with 2 repeats (group-to-fold assignment shuffled between repeats); Parkinson’s uses</w:t>
      </w:r>
      <w:r>
        <w:t xml:space="preserve"> </w:t>
      </w:r>
      <m:oMath>
        <m:r>
          <m:t>K</m:t>
        </m:r>
        <m:r>
          <m:rPr>
            <m:sty m:val="p"/>
          </m:rPr>
          <m:t>=</m:t>
        </m:r>
        <m:r>
          <m:t>10</m:t>
        </m:r>
      </m:oMath>
      <w:r>
        <w:t xml:space="preserve"> </w:t>
      </w:r>
      <w:r>
        <w:t xml:space="preserve">patient folds. For ENB2012 we also use a</w:t>
      </w:r>
      <w:r>
        <w:t xml:space="preserve"> </w:t>
      </w:r>
      <w:r>
        <w:rPr>
          <w:i/>
          <w:iCs/>
        </w:rPr>
        <w:t xml:space="preserve">three-geometry hold-out</w:t>
      </w:r>
      <w:r>
        <w:t xml:space="preserve"> </w:t>
      </w:r>
      <w:r>
        <w:t xml:space="preserve">protocol (three geometries held out at random, training on the other nine, 20 repeats) as a harder, smaller-training-set robustness check.</w:t>
      </w:r>
    </w:p>
    <w:p>
      <w:pPr>
        <w:pStyle w:val="FirstParagraph"/>
      </w:pPr>
      <w:r>
        <w:t xml:space="preserve">With</w:t>
      </w:r>
      <w:r>
        <w:t xml:space="preserve"> </w:t>
      </w:r>
      <m:oMath>
        <m:r>
          <m:t>K</m:t>
        </m:r>
        <m:r>
          <m:rPr>
            <m:sty m:val="p"/>
          </m:rPr>
          <m:t>=</m:t>
        </m:r>
        <m:r>
          <m:t>10</m:t>
        </m:r>
      </m:oMath>
      <w:r>
        <w:t xml:space="preserve">–12 the training sets of the two families contain about 90–92% of the rows, so their errors are directly comparable.</w:t>
      </w:r>
    </w:p>
    <w:p>
      <w:pPr>
        <w:pStyle w:val="BodyText"/>
      </w:pPr>
      <w:r>
        <w:rPr>
          <w:b/>
          <w:bCs/>
        </w:rPr>
        <w:t xml:space="preserve">Nested tuning.</w:t>
      </w:r>
      <w:r>
        <w:t xml:space="preserve"> </w:t>
      </w:r>
      <w:r>
        <w:t xml:space="preserve">Within each outer training set, hyper-parameters are chosen by grid search with 3-fold inner cross-validation, the model is refitted on the full outer training set with the selected values, and the outer test fold is predicted. Inner folds match the outer protocol: random for random outer folds and group-pure (</w:t>
      </w:r>
      <w:r>
        <w:rPr>
          <w:rStyle w:val="VerbatimChar"/>
        </w:rPr>
        <w:t xml:space="preserve">GroupKFold</w:t>
      </w:r>
      <w:r>
        <w:t xml:space="preserve">) for grouped outer folds. A third arm, used only for the tuning ablation, combines a grouped outer protocol with</w:t>
      </w:r>
      <w:r>
        <w:t xml:space="preserve"> </w:t>
      </w:r>
      <w:r>
        <w:rPr>
          <w:i/>
          <w:iCs/>
        </w:rPr>
        <w:t xml:space="preserve">random</w:t>
      </w:r>
      <w:r>
        <w:t xml:space="preserve"> </w:t>
      </w:r>
      <w:r>
        <w:t xml:space="preserve">inner folds.</w:t>
      </w:r>
    </w:p>
    <w:p>
      <w:pPr>
        <w:pStyle w:val="BodyText"/>
      </w:pPr>
      <w:r>
        <w:t xml:space="preserve">Algorithm 1 gives the procedure.</w:t>
      </w:r>
    </w:p>
    <w:p>
      <w:pPr>
        <w:pStyle w:val="SourceCode"/>
        <w:shd w:val="clear" w:fill="F2F2F2"/>
      </w:pPr>
      <w:r>
        <w:rPr>
          <w:rStyle w:val="VerbatimChar"/>
          <w:sz w:val="16"/>
        </w:rPr>
        <w:t xml:space="preserve">Algorithm 1: Nested group-held-out evaluation with matched inner folds</w:t>
      </w:r>
      <w:r>
        <w:rPr>
          <w:sz w:val="16"/>
        </w:rPr>
        <w:br/>
      </w:r>
      <w:r>
        <w:rPr>
          <w:rStyle w:val="VerbatimChar"/>
          <w:sz w:val="16"/>
        </w:rPr>
        <w:t xml:space="preserve">Input: data (x, y, g), model family M with grid Λ, outer folds F_1..F_K (group-pure)</w:t>
      </w:r>
      <w:r>
        <w:rPr>
          <w:sz w:val="16"/>
        </w:rPr>
        <w:br/>
      </w:r>
      <w:r>
        <w:rPr>
          <w:rStyle w:val="VerbatimChar"/>
          <w:sz w:val="16"/>
        </w:rPr>
        <w:t xml:space="preserve">for k = 1..K:</w:t>
      </w:r>
      <w:r>
        <w:rPr>
          <w:sz w:val="16"/>
        </w:rPr>
        <w:br/>
      </w:r>
      <w:r>
        <w:rPr>
          <w:rStyle w:val="VerbatimChar"/>
          <w:sz w:val="16"/>
        </w:rPr>
        <w:t xml:space="preserve">    S_k &lt;- rows not in F_k ;  T_k &lt;- rows in F_k</w:t>
      </w:r>
      <w:r>
        <w:rPr>
          <w:sz w:val="16"/>
        </w:rPr>
        <w:br/>
      </w:r>
      <w:r>
        <w:rPr>
          <w:rStyle w:val="VerbatimChar"/>
          <w:sz w:val="16"/>
        </w:rPr>
        <w:t xml:space="preserve">    split S_k into 3 inner folds with all rows of a group in one inner fold   (GroupKFold)</w:t>
      </w:r>
      <w:r>
        <w:rPr>
          <w:sz w:val="16"/>
        </w:rPr>
        <w:br/>
      </w:r>
      <w:r>
        <w:rPr>
          <w:rStyle w:val="VerbatimChar"/>
          <w:sz w:val="16"/>
        </w:rPr>
        <w:t xml:space="preserve">    for λ in Λ:   e(λ) &lt;- mean inner-validation RMSE of M(λ)</w:t>
      </w:r>
      <w:r>
        <w:rPr>
          <w:sz w:val="16"/>
        </w:rPr>
        <w:br/>
      </w:r>
      <w:r>
        <w:rPr>
          <w:rStyle w:val="VerbatimChar"/>
          <w:sz w:val="16"/>
        </w:rPr>
        <w:t xml:space="preserve">    λ* &lt;- argmin e(λ) ;  fit M(λ*) on S_k ;  predict T_k</w:t>
      </w:r>
      <w:r>
        <w:rPr>
          <w:sz w:val="16"/>
        </w:rPr>
        <w:br/>
      </w:r>
      <w:r>
        <w:rPr>
          <w:rStyle w:val="VerbatimChar"/>
          <w:sz w:val="16"/>
        </w:rPr>
        <w:t xml:space="preserve">pool predictions over k; report pooled RMSE, MAE, skill score relative to the</w:t>
      </w:r>
      <w:r>
        <w:rPr>
          <w:sz w:val="16"/>
        </w:rPr>
        <w:br/>
      </w:r>
      <w:r>
        <w:rPr>
          <w:rStyle w:val="VerbatimChar"/>
          <w:sz w:val="16"/>
        </w:rPr>
        <w:t xml:space="preserve">training-mean predictor under the same folds</w:t>
      </w:r>
    </w:p>
    <w:bookmarkEnd w:id="42"/>
    <w:bookmarkStart w:id="43" w:name="models-and-hyper-parameters"/>
    <w:p>
      <w:pPr>
        <w:pStyle w:val="Heading2"/>
      </w:pPr>
      <w:r>
        <w:rPr>
          <w:rStyle w:val="SectionNumber"/>
        </w:rPr>
        <w:t xml:space="preserve">5.3</w:t>
      </w:r>
      <w:r>
        <w:tab/>
      </w:r>
      <w:r>
        <w:t xml:space="preserve">Models and hyper-parameters</w:t>
      </w:r>
    </w:p>
    <w:p>
      <w:pPr>
        <w:pStyle w:val="FirstParagraph"/>
      </w:pPr>
      <w:r>
        <w:t xml:space="preserve">We compare five model families (Table 5): ridge regression [37],</w:t>
      </w:r>
      <w:r>
        <w:t xml:space="preserve"> </w:t>
      </w:r>
      <m:oMath>
        <m:r>
          <m:t>k</m:t>
        </m:r>
      </m:oMath>
      <w:r>
        <w:t xml:space="preserve">-nearest neighbours, support-vector regression with a radial-basis-function kernel [38], random forests [39] and gradient-boosted regression trees [40]. They span a range of capacity to memorise groups: ridge regression is a low-capacity linear model, the radial-basis SVR and the neighbour method are local smoothers whose capacity is governed by a bandwidth or neighbour count, and the tree ensembles can isolate individual groups through splits on group-identifying attributes. All features are standardised for ridge, kNN and SVR; trees use raw features. The implementation is scikit-learn 1.9.1 [41], with a fixed random seed (42). For ENB2012 we additionally evaluate three physics-informed variants (Section 5.5).</w:t>
      </w:r>
    </w:p>
    <w:p>
      <w:pPr>
        <w:pStyle w:val="TableCaption"/>
      </w:pPr>
      <w:r>
        <w:t xml:space="preserve">Table 5. Models and tuning grids (nested inner 3-fold cross-validation, RMSE criterion).</w:t>
      </w:r>
    </w:p>
    <w:tbl>
      <w:tblPr>
        <w:tblStyle w:val="Table"/>
        <w:tblW w:w="9071" w:type="dxa"/>
        <w:tblBorders>
          <w:top w:val="single" w:sz="12" w:space="0" w:color="000000"/>
          <w:left w:val="nil"/>
          <w:bottom w:val="single" w:sz="12"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Caption w:val="Table 5. Models and tuning grids (nested inner 3-fold cross-validation, RMSE criterion)."/>
      </w:tblPr>
      <w:tblGrid>
        <w:gridCol w:w="4075"/>
        <w:gridCol w:w="4995"/>
      </w:tblGrid>
      <w:tr>
        <w:trPr>
          <w:cantSplit w:val="true"/>
          <w:tblHeader w:val="on"/>
          <w:tblHeader w:val="true"/>
        </w:trPr>
        <w:tc>
          <w:tcPr>
            <w:tcW w:w="4075" w:type="dxa"/>
            <w:tcBorders>
              <w:bottom w:val="single" w:sz="6" w:space="0" w:color="000000"/>
            </w:tcBorders>
          </w:tcPr>
          <w:p>
            <w:pPr>
              <w:pStyle w:val="Compact"/>
              <w:keepLines/>
              <w:jc w:val="left"/>
            </w:pPr>
            <w:r>
              <w:rPr>
                <w:b/>
                <w:sz w:val="17"/>
              </w:rPr>
              <w:t xml:space="preserve">Model</w:t>
            </w:r>
          </w:p>
        </w:tc>
        <w:tc>
          <w:tcPr>
            <w:tcW w:w="4995" w:type="dxa"/>
            <w:tcBorders>
              <w:bottom w:val="single" w:sz="6" w:space="0" w:color="000000"/>
            </w:tcBorders>
          </w:tcPr>
          <w:p>
            <w:pPr>
              <w:pStyle w:val="Compact"/>
              <w:keepLines/>
              <w:jc w:val="left"/>
            </w:pPr>
            <w:r>
              <w:rPr>
                <w:b/>
                <w:sz w:val="17"/>
              </w:rPr>
              <w:t xml:space="preserve">Grid</w:t>
            </w:r>
          </w:p>
        </w:tc>
      </w:tr>
      <w:tr>
        <w:trPr>
          <w:cantSplit w:val="true"/>
        </w:trPr>
        <w:tc>
          <w:tcPr>
            <w:tcW w:w="4075" w:type="dxa"/>
          </w:tcPr>
          <w:p>
            <w:pPr>
              <w:pStyle w:val="Compact"/>
              <w:keepLines/>
              <w:jc w:val="left"/>
            </w:pPr>
            <w:r>
              <w:rPr>
                <w:sz w:val="17"/>
              </w:rPr>
              <w:t xml:space="preserve">Ridge</w:t>
            </w:r>
          </w:p>
        </w:tc>
        <w:tc>
          <w:tcPr>
            <w:tcW w:w="4995" w:type="dxa"/>
          </w:tcPr>
          <w:p>
            <w:pPr>
              <w:pStyle w:val="Compact"/>
              <w:keepLines/>
              <w:jc w:val="left"/>
            </w:pPr>
            <m:oMath>
              <m:r>
                <m:t>α</m:t>
              </m:r>
              <m:r>
                <m:rPr>
                  <m:sty m:val="p"/>
                </m:rPr>
                <m:t>∈</m:t>
              </m:r>
              <m:r>
                <m:rPr>
                  <m:sty m:val="p"/>
                </m:rPr>
                <m:t>{</m:t>
              </m:r>
              <m:r>
                <m:t>0.1</m:t>
              </m:r>
              <m:r>
                <m:rPr>
                  <m:sty m:val="p"/>
                </m:rPr>
                <m:t>,</m:t>
              </m:r>
              <m:r>
                <m:t>1</m:t>
              </m:r>
              <m:r>
                <m:rPr>
                  <m:sty m:val="p"/>
                </m:rPr>
                <m:t>,</m:t>
              </m:r>
              <m:r>
                <m:t>10</m:t>
              </m:r>
              <m:r>
                <m:rPr>
                  <m:sty m:val="p"/>
                </m:rPr>
                <m:t>,</m:t>
              </m:r>
              <m:r>
                <m:t>100</m:t>
              </m:r>
              <m:r>
                <m:rPr>
                  <m:sty m:val="p"/>
                </m:rPr>
                <m:t>}</m:t>
              </m:r>
            </m:oMath>
          </w:p>
        </w:tc>
      </w:tr>
      <w:tr>
        <w:trPr>
          <w:cantSplit w:val="true"/>
        </w:trPr>
        <w:tc>
          <w:tcPr>
            <w:tcW w:w="4075" w:type="dxa"/>
          </w:tcPr>
          <w:p>
            <w:pPr>
              <w:pStyle w:val="Compact"/>
              <w:keepLines/>
              <w:jc w:val="left"/>
            </w:pPr>
            <w:r>
              <w:rPr>
                <w:sz w:val="17"/>
              </w:rPr>
              <w:t xml:space="preserve">kNN</w:t>
            </w:r>
          </w:p>
        </w:tc>
        <w:tc>
          <w:tcPr>
            <w:tcW w:w="4995" w:type="dxa"/>
          </w:tcPr>
          <w:p>
            <w:pPr>
              <w:pStyle w:val="Compact"/>
              <w:keepLines/>
              <w:jc w:val="left"/>
            </w:pPr>
            <m:oMath>
              <m:r>
                <m:t>k</m:t>
              </m:r>
              <m:r>
                <m:rPr>
                  <m:sty m:val="p"/>
                </m:rPr>
                <m:t>∈</m:t>
              </m:r>
              <m:r>
                <m:rPr>
                  <m:sty m:val="p"/>
                </m:rPr>
                <m:t>{</m:t>
              </m:r>
              <m:r>
                <m:t>3</m:t>
              </m:r>
              <m:r>
                <m:rPr>
                  <m:sty m:val="p"/>
                </m:rPr>
                <m:t>,</m:t>
              </m:r>
              <m:r>
                <m:t>9</m:t>
              </m:r>
              <m:r>
                <m:rPr>
                  <m:sty m:val="p"/>
                </m:rPr>
                <m:t>,</m:t>
              </m:r>
              <m:r>
                <m:t>15</m:t>
              </m:r>
              <m:r>
                <m:rPr>
                  <m:sty m:val="p"/>
                </m:rPr>
                <m:t>}</m:t>
              </m:r>
            </m:oMath>
          </w:p>
        </w:tc>
      </w:tr>
      <w:tr>
        <w:trPr>
          <w:cantSplit w:val="true"/>
        </w:trPr>
        <w:tc>
          <w:tcPr>
            <w:tcW w:w="4075" w:type="dxa"/>
          </w:tcPr>
          <w:p>
            <w:pPr>
              <w:pStyle w:val="Compact"/>
              <w:keepLines/>
              <w:jc w:val="left"/>
            </w:pPr>
            <w:r>
              <w:rPr>
                <w:sz w:val="17"/>
              </w:rPr>
              <w:t xml:space="preserve">SVR (RBF)</w:t>
            </w:r>
          </w:p>
        </w:tc>
        <w:tc>
          <w:tcPr>
            <w:tcW w:w="4995" w:type="dxa"/>
          </w:tcPr>
          <w:p>
            <w:pPr>
              <w:pStyle w:val="Compact"/>
              <w:keepLines/>
              <w:jc w:val="left"/>
            </w:pPr>
            <m:oMath>
              <m:r>
                <m:t>C</m:t>
              </m:r>
              <m:r>
                <m:rPr>
                  <m:sty m:val="p"/>
                </m:rPr>
                <m:t>∈</m:t>
              </m:r>
              <m:r>
                <m:rPr>
                  <m:sty m:val="p"/>
                </m:rPr>
                <m:t>{</m:t>
              </m:r>
              <m:r>
                <m:t>1</m:t>
              </m:r>
              <m:r>
                <m:rPr>
                  <m:sty m:val="p"/>
                </m:rPr>
                <m:t>,</m:t>
              </m:r>
              <m:r>
                <m:t>30</m:t>
              </m:r>
              <m:r>
                <m:rPr>
                  <m:sty m:val="p"/>
                </m:rPr>
                <m:t>}</m:t>
              </m:r>
            </m:oMath>
            <w:r>
              <w:rPr>
                <w:sz w:val="17"/>
              </w:rPr>
              <w:t xml:space="preserve">,</w:t>
            </w:r>
            <w:r>
              <w:rPr>
                <w:sz w:val="17"/>
              </w:rPr>
              <w:t xml:space="preserve"> </w:t>
            </w:r>
            <m:oMath>
              <m:r>
                <m:t>γ</m:t>
              </m:r>
              <m:r>
                <m:rPr>
                  <m:sty m:val="p"/>
                </m:rPr>
                <m:t>∈</m:t>
              </m:r>
              <m:r>
                <m:rPr>
                  <m:sty m:val="p"/>
                </m:rPr>
                <m:t>{</m:t>
              </m:r>
              <m:r>
                <m:rPr>
                  <m:nor/>
                </m:rPr>
                <m:t>scale</m:t>
              </m:r>
              <m:r>
                <m:rPr>
                  <m:sty m:val="p"/>
                </m:rPr>
                <m:t>,</m:t>
              </m:r>
              <m:r>
                <m:t>0.02</m:t>
              </m:r>
              <m:r>
                <m:rPr>
                  <m:sty m:val="p"/>
                </m:rPr>
                <m:t>}</m:t>
              </m:r>
            </m:oMath>
          </w:p>
        </w:tc>
      </w:tr>
      <w:tr>
        <w:trPr>
          <w:cantSplit w:val="true"/>
        </w:trPr>
        <w:tc>
          <w:tcPr>
            <w:tcW w:w="4075" w:type="dxa"/>
          </w:tcPr>
          <w:p>
            <w:pPr>
              <w:pStyle w:val="Compact"/>
              <w:keepLines/>
              <w:jc w:val="left"/>
            </w:pPr>
            <w:r>
              <w:rPr>
                <w:sz w:val="17"/>
              </w:rPr>
              <w:t xml:space="preserve">Random forest (100 trees)</w:t>
            </w:r>
          </w:p>
        </w:tc>
        <w:tc>
          <w:tcPr>
            <w:tcW w:w="4995" w:type="dxa"/>
          </w:tcPr>
          <w:p>
            <w:pPr>
              <w:pStyle w:val="Compact"/>
              <w:keepLines/>
              <w:jc w:val="left"/>
            </w:pPr>
            <w:r>
              <w:rPr>
                <w:sz w:val="17"/>
              </w:rPr>
              <w:t xml:space="preserve">max features</w:t>
            </w:r>
            <w:r>
              <w:rPr>
                <w:sz w:val="17"/>
              </w:rPr>
              <w:t xml:space="preserve"> </w:t>
            </w:r>
            <m:oMath>
              <m:r>
                <m:rPr>
                  <m:sty m:val="p"/>
                </m:rPr>
                <m:t>∈</m:t>
              </m:r>
              <m:r>
                <m:rPr>
                  <m:sty m:val="p"/>
                </m:rPr>
                <m:t>{</m:t>
              </m:r>
              <m:r>
                <m:t>0.5</m:t>
              </m:r>
              <m:r>
                <m:rPr>
                  <m:sty m:val="p"/>
                </m:rPr>
                <m:t>,</m:t>
              </m:r>
              <m:r>
                <m:t>1.0</m:t>
              </m:r>
              <m:r>
                <m:rPr>
                  <m:sty m:val="p"/>
                </m:rPr>
                <m:t>}</m:t>
              </m:r>
            </m:oMath>
            <w:r>
              <w:rPr>
                <w:sz w:val="17"/>
              </w:rPr>
              <w:t xml:space="preserve">, min. samples per leaf</w:t>
            </w:r>
            <w:r>
              <w:rPr>
                <w:sz w:val="17"/>
              </w:rPr>
              <w:t xml:space="preserve"> </w:t>
            </w:r>
            <m:oMath>
              <m:r>
                <m:rPr>
                  <m:sty m:val="p"/>
                </m:rPr>
                <m:t>∈</m:t>
              </m:r>
              <m:r>
                <m:rPr>
                  <m:sty m:val="p"/>
                </m:rPr>
                <m:t>{</m:t>
              </m:r>
              <m:r>
                <m:t>1</m:t>
              </m:r>
              <m:r>
                <m:rPr>
                  <m:sty m:val="p"/>
                </m:rPr>
                <m:t>,</m:t>
              </m:r>
              <m:r>
                <m:t>5</m:t>
              </m:r>
              <m:r>
                <m:rPr>
                  <m:sty m:val="p"/>
                </m:rPr>
                <m:t>}</m:t>
              </m:r>
            </m:oMath>
          </w:p>
        </w:tc>
      </w:tr>
      <w:tr>
        <w:trPr>
          <w:cantSplit w:val="true"/>
        </w:trPr>
        <w:tc>
          <w:tcPr>
            <w:tcW w:w="4075" w:type="dxa"/>
          </w:tcPr>
          <w:p>
            <w:pPr>
              <w:pStyle w:val="Compact"/>
              <w:keepLines/>
              <w:jc w:val="left"/>
            </w:pPr>
            <w:r>
              <w:rPr>
                <w:sz w:val="17"/>
              </w:rPr>
              <w:t xml:space="preserve">Gradient boosting (200 trees)</w:t>
            </w:r>
          </w:p>
        </w:tc>
        <w:tc>
          <w:tcPr>
            <w:tcW w:w="4995" w:type="dxa"/>
          </w:tcPr>
          <w:p>
            <w:pPr>
              <w:pStyle w:val="Compact"/>
              <w:keepLines/>
              <w:jc w:val="left"/>
            </w:pPr>
            <w:r>
              <w:rPr>
                <w:sz w:val="17"/>
              </w:rPr>
              <w:t xml:space="preserve">learning rate</w:t>
            </w:r>
            <w:r>
              <w:rPr>
                <w:sz w:val="17"/>
              </w:rPr>
              <w:t xml:space="preserve"> </w:t>
            </w:r>
            <m:oMath>
              <m:r>
                <m:rPr>
                  <m:sty m:val="p"/>
                </m:rPr>
                <m:t>∈</m:t>
              </m:r>
              <m:r>
                <m:rPr>
                  <m:sty m:val="p"/>
                </m:rPr>
                <m:t>{</m:t>
              </m:r>
              <m:r>
                <m:t>0.05</m:t>
              </m:r>
              <m:r>
                <m:rPr>
                  <m:sty m:val="p"/>
                </m:rPr>
                <m:t>,</m:t>
              </m:r>
              <m:r>
                <m:t>0.1</m:t>
              </m:r>
              <m:r>
                <m:rPr>
                  <m:sty m:val="p"/>
                </m:rPr>
                <m:t>}</m:t>
              </m:r>
            </m:oMath>
            <w:r>
              <w:rPr>
                <w:sz w:val="17"/>
              </w:rPr>
              <w:t xml:space="preserve">, max depth</w:t>
            </w:r>
            <w:r>
              <w:rPr>
                <w:sz w:val="17"/>
              </w:rPr>
              <w:t xml:space="preserve"> </w:t>
            </w:r>
            <m:oMath>
              <m:r>
                <m:rPr>
                  <m:sty m:val="p"/>
                </m:rPr>
                <m:t>∈</m:t>
              </m:r>
              <m:r>
                <m:rPr>
                  <m:sty m:val="p"/>
                </m:rPr>
                <m:t>{</m:t>
              </m:r>
              <m:r>
                <m:t>2</m:t>
              </m:r>
              <m:r>
                <m:rPr>
                  <m:sty m:val="p"/>
                </m:rPr>
                <m:t>,</m:t>
              </m:r>
              <m:r>
                <m:t>3</m:t>
              </m:r>
              <m:r>
                <m:rPr>
                  <m:sty m:val="p"/>
                </m:rPr>
                <m:t>}</m:t>
              </m:r>
            </m:oMath>
          </w:p>
        </w:tc>
      </w:tr>
    </w:tbl>
    <w:p>
      <w:pPr>
        <w:pStyle w:val="BodyText"/>
      </w:pPr>
      <w:r>
        <w:t xml:space="preserve">The supplementary analyses that need many model fits (learning curves, feature ablations, sensitivity, calibration, ICC estimation) use fixed, reasonable hyper-parameters instead of nested tuning (ridge</w:t>
      </w:r>
      <w:r>
        <w:t xml:space="preserve"> </w:t>
      </w:r>
      <m:oMath>
        <m:r>
          <m:t>α</m:t>
        </m:r>
        <m:r>
          <m:rPr>
            <m:sty m:val="p"/>
          </m:rPr>
          <m:t>=</m:t>
        </m:r>
        <m:r>
          <m:t>10</m:t>
        </m:r>
      </m:oMath>
      <w:r>
        <w:t xml:space="preserve">; SVR</w:t>
      </w:r>
      <w:r>
        <w:t xml:space="preserve"> </w:t>
      </w:r>
      <m:oMath>
        <m:r>
          <m:t>C</m:t>
        </m:r>
        <m:r>
          <m:rPr>
            <m:sty m:val="p"/>
          </m:rPr>
          <m:t>=</m:t>
        </m:r>
        <m:r>
          <m:t>30</m:t>
        </m:r>
      </m:oMath>
      <w:r>
        <w:t xml:space="preserve">,</w:t>
      </w:r>
      <w:r>
        <w:t xml:space="preserve"> </w:t>
      </w:r>
      <m:oMath>
        <m:r>
          <m:t>γ</m:t>
        </m:r>
        <m:r>
          <m:rPr>
            <m:sty m:val="p"/>
          </m:rPr>
          <m:t>=</m:t>
        </m:r>
        <m:r>
          <m:rPr>
            <m:nor/>
          </m:rPr>
          <m:t>scale</m:t>
        </m:r>
      </m:oMath>
      <w:r>
        <w:t xml:space="preserve">; kNN</w:t>
      </w:r>
      <w:r>
        <w:t xml:space="preserve"> </w:t>
      </w:r>
      <m:oMath>
        <m:r>
          <m:t>k</m:t>
        </m:r>
        <m:r>
          <m:rPr>
            <m:sty m:val="p"/>
          </m:rPr>
          <m:t>=</m:t>
        </m:r>
        <m:r>
          <m:t>9</m:t>
        </m:r>
      </m:oMath>
      <w:r>
        <w:t xml:space="preserve">; random forest 100 trees with half of the features per split; gradient boosting 200 trees, learning rate 0.1, depth 3). This isolates the effect of the validation protocol from the effect of tuning, and it is stated explicitly wherever it is used.</w:t>
      </w:r>
    </w:p>
    <w:bookmarkEnd w:id="43"/>
    <w:bookmarkStart w:id="44" w:name="metrics-and-uncertainty"/>
    <w:p>
      <w:pPr>
        <w:pStyle w:val="Heading2"/>
      </w:pPr>
      <w:r>
        <w:rPr>
          <w:rStyle w:val="SectionNumber"/>
        </w:rPr>
        <w:t xml:space="preserve">5.4</w:t>
      </w:r>
      <w:r>
        <w:tab/>
      </w:r>
      <w:r>
        <w:t xml:space="preserve">Metrics and uncertainty</w:t>
      </w:r>
    </w:p>
    <w:p>
      <w:pPr>
        <w:pStyle w:val="FirstParagraph"/>
      </w:pPr>
      <w:r>
        <w:t xml:space="preserve">The primary metric is the root-mean-square error (RMSE) pooled over all test rows of a protocol repetition, so that folds are weighted by size. We also report the mean absolute error (MAE), pooled out-of-fold</w:t>
      </w:r>
      <w:r>
        <w:t xml:space="preserve"> </w:t>
      </w:r>
      <m:oMath>
        <m:sSup>
          <m:e>
            <m:r>
              <m:t>R</m:t>
            </m:r>
          </m:e>
          <m:sup>
            <m:r>
              <m:t>2</m:t>
            </m:r>
          </m:sup>
        </m:sSup>
      </m:oMath>
      <w:r>
        <w:t xml:space="preserve"> </w:t>
      </w:r>
      <w:r>
        <w:t xml:space="preserve">and the skill score of Eq. (16) relative to the training-mean predictor computed under the same folds. The inflation ratio</w:t>
      </w:r>
      <w:r>
        <w:t xml:space="preserve"> </w:t>
      </w:r>
      <m:oMath>
        <m:r>
          <m:t>ρ</m:t>
        </m:r>
      </m:oMath>
      <w:r>
        <w:t xml:space="preserve"> </w:t>
      </w:r>
      <w:r>
        <w:t xml:space="preserve">is the ratio of grouped to random RMSE. Intervals are 95% percentile bootstrap intervals [35] over folds (5,000 resamples for ENB2012, 2,000 for the other datasets); because grouped folds are group-pure, resampling folds respects the dependence between rows of one group. Folds of repeated random cross-validation are not independent, so the random-protocol intervals are optimistic, and we say so wherever they are shown. For paired comparisons of models over the twelve geometries of ENB2012 we use the Wilcoxon signed-rank test [42]. To compare model rankings between protocols across the five dataset–target combinations we use Kendall’s rank correlation and the Friedman test with the post-hoc procedure recommended by Demšar [43].</w:t>
      </w:r>
    </w:p>
    <w:bookmarkEnd w:id="44"/>
    <w:bookmarkStart w:id="45" w:name="physics-informed-variants-enb2012-only"/>
    <w:p>
      <w:pPr>
        <w:pStyle w:val="Heading2"/>
      </w:pPr>
      <w:r>
        <w:rPr>
          <w:rStyle w:val="SectionNumber"/>
        </w:rPr>
        <w:t xml:space="preserve">5.5</w:t>
      </w:r>
      <w:r>
        <w:tab/>
      </w:r>
      <w:r>
        <w:t xml:space="preserve">Physics-informed variants (ENB2012 only)</w:t>
      </w:r>
    </w:p>
    <w:p>
      <w:pPr>
        <w:pStyle w:val="FirstParagraph"/>
      </w:pPr>
      <w:r>
        <w:t xml:space="preserve">To test whether domain knowledge restores generalisation across geometries, we add three variants for ENB2012.</w:t>
      </w:r>
      <w:r>
        <w:t xml:space="preserve"> </w:t>
      </w:r>
      <w:r>
        <w:rPr>
          <w:i/>
          <w:iCs/>
        </w:rPr>
        <w:t xml:space="preserve">Ridge + phys</w:t>
      </w:r>
      <w:r>
        <w:t xml:space="preserve"> </w:t>
      </w:r>
      <w:r>
        <w:t xml:space="preserve">and</w:t>
      </w:r>
      <w:r>
        <w:t xml:space="preserve"> </w:t>
      </w:r>
      <w:r>
        <w:rPr>
          <w:i/>
          <w:iCs/>
        </w:rPr>
        <w:t xml:space="preserve">GBM + phys</w:t>
      </w:r>
      <w:r>
        <w:t xml:space="preserve"> </w:t>
      </w:r>
      <w:r>
        <w:t xml:space="preserve">use an extended feature set with a volume proxy (roof area times height), absolute glazing area (glazing fraction times roof area), the surface-to-volume and wall-to-volume ratios, glazing-to-wall and glazing-to-surface ratios and a one-hot encoding of orientation. The</w:t>
      </w:r>
      <w:r>
        <w:t xml:space="preserve"> </w:t>
      </w:r>
      <w:r>
        <w:rPr>
          <w:i/>
          <w:iCs/>
        </w:rPr>
        <w:t xml:space="preserve">hybrid</w:t>
      </w:r>
      <w:r>
        <w:t xml:space="preserve"> </w:t>
      </w:r>
      <w:r>
        <w:t xml:space="preserve">model fits ridge regression to capture the global trend and gradient boosting to its residuals, so that the extrapolable part is linear and the local part is nonlinear.</w:t>
      </w:r>
    </w:p>
    <w:bookmarkEnd w:id="45"/>
    <w:bookmarkStart w:id="46" w:name="supplementary-experiments"/>
    <w:p>
      <w:pPr>
        <w:pStyle w:val="Heading2"/>
      </w:pPr>
      <w:r>
        <w:rPr>
          <w:rStyle w:val="SectionNumber"/>
        </w:rPr>
        <w:t xml:space="preserve">5.6</w:t>
      </w:r>
      <w:r>
        <w:tab/>
      </w:r>
      <w:r>
        <w:t xml:space="preserve">Supplementary experiments</w:t>
      </w:r>
    </w:p>
    <w:p>
      <w:pPr>
        <w:pStyle w:val="FirstParagraph"/>
      </w:pPr>
      <w:r>
        <w:t xml:space="preserve">Table 6 lists the additional experiments that address the research questions beyond the main protocol comparison. All use the group structure and fixed hyper-parameters stated above unless noted.</w:t>
      </w:r>
    </w:p>
    <w:p>
      <w:pPr>
        <w:pStyle w:val="TableCaption"/>
      </w:pPr>
      <w:r>
        <w:t xml:space="preserve">Table 6. Supplementary experiments.</w:t>
      </w:r>
    </w:p>
    <w:tbl>
      <w:tblPr>
        <w:tblStyle w:val="Table"/>
        <w:tblW w:w="9071" w:type="dxa"/>
        <w:tblBorders>
          <w:top w:val="single" w:sz="12" w:space="0" w:color="000000"/>
          <w:left w:val="nil"/>
          <w:bottom w:val="single" w:sz="12"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Caption w:val="Table 6. Supplementary experiments."/>
      </w:tblPr>
      <w:tblGrid>
        <w:gridCol w:w="1917"/>
        <w:gridCol w:w="3466"/>
        <w:gridCol w:w="3687"/>
      </w:tblGrid>
      <w:tr>
        <w:trPr>
          <w:cantSplit w:val="true"/>
          <w:tblHeader w:val="on"/>
          <w:tblHeader w:val="true"/>
        </w:trPr>
        <w:tc>
          <w:tcPr>
            <w:tcW w:w="1917" w:type="dxa"/>
            <w:tcBorders>
              <w:bottom w:val="single" w:sz="6" w:space="0" w:color="000000"/>
            </w:tcBorders>
          </w:tcPr>
          <w:p>
            <w:pPr>
              <w:pStyle w:val="Compact"/>
              <w:keepLines/>
              <w:jc w:val="left"/>
            </w:pPr>
            <w:r>
              <w:rPr>
                <w:b/>
                <w:sz w:val="17"/>
              </w:rPr>
              <w:t xml:space="preserve">Experiment</w:t>
            </w:r>
          </w:p>
        </w:tc>
        <w:tc>
          <w:tcPr>
            <w:tcW w:w="3466" w:type="dxa"/>
            <w:tcBorders>
              <w:bottom w:val="single" w:sz="6" w:space="0" w:color="000000"/>
            </w:tcBorders>
          </w:tcPr>
          <w:p>
            <w:pPr>
              <w:pStyle w:val="Compact"/>
              <w:keepLines/>
              <w:jc w:val="left"/>
            </w:pPr>
            <w:r>
              <w:rPr>
                <w:b/>
                <w:sz w:val="17"/>
              </w:rPr>
              <w:t xml:space="preserve">Purpose (RQ)</w:t>
            </w:r>
          </w:p>
        </w:tc>
        <w:tc>
          <w:tcPr>
            <w:tcW w:w="3687" w:type="dxa"/>
            <w:tcBorders>
              <w:bottom w:val="single" w:sz="6" w:space="0" w:color="000000"/>
            </w:tcBorders>
          </w:tcPr>
          <w:p>
            <w:pPr>
              <w:pStyle w:val="Compact"/>
              <w:keepLines/>
              <w:jc w:val="left"/>
            </w:pPr>
            <w:r>
              <w:rPr>
                <w:b/>
                <w:sz w:val="17"/>
              </w:rPr>
              <w:t xml:space="preserve">Design</w:t>
            </w:r>
          </w:p>
        </w:tc>
      </w:tr>
      <w:tr>
        <w:trPr>
          <w:cantSplit w:val="true"/>
        </w:trPr>
        <w:tc>
          <w:tcPr>
            <w:tcW w:w="1917" w:type="dxa"/>
          </w:tcPr>
          <w:p>
            <w:pPr>
              <w:pStyle w:val="Compact"/>
              <w:keepLines/>
              <w:jc w:val="left"/>
            </w:pPr>
            <w:r>
              <w:rPr>
                <w:sz w:val="17"/>
              </w:rPr>
              <w:t xml:space="preserve">Synthetic simulation</w:t>
            </w:r>
          </w:p>
        </w:tc>
        <w:tc>
          <w:tcPr>
            <w:tcW w:w="3466" w:type="dxa"/>
          </w:tcPr>
          <w:p>
            <w:pPr>
              <w:pStyle w:val="Compact"/>
              <w:keepLines/>
              <w:jc w:val="left"/>
            </w:pPr>
            <w:r>
              <w:rPr>
                <w:sz w:val="17"/>
              </w:rPr>
              <w:t xml:space="preserve">Validate Eqs. (6)–(8) (RQ2)</w:t>
            </w:r>
          </w:p>
        </w:tc>
        <w:tc>
          <w:tcPr>
            <w:tcW w:w="3687" w:type="dxa"/>
          </w:tcPr>
          <w:p>
            <w:pPr>
              <w:pStyle w:val="Compact"/>
              <w:keepLines/>
              <w:jc w:val="left"/>
            </w:pPr>
            <w:r>
              <w:rPr>
                <w:sz w:val="17"/>
              </w:rPr>
              <w:t xml:space="preserve">Random-effects data with ICC in {0.05, 0.2, 0.4, 0.6, 0.8}, group size in {2, 5, 20, 64}, 50 groups, 3 replications; gradient boosting and ridge under random and grouped 10-fold</w:t>
            </w:r>
          </w:p>
        </w:tc>
      </w:tr>
      <w:tr>
        <w:trPr>
          <w:cantSplit w:val="true"/>
        </w:trPr>
        <w:tc>
          <w:tcPr>
            <w:tcW w:w="1917" w:type="dxa"/>
          </w:tcPr>
          <w:p>
            <w:pPr>
              <w:pStyle w:val="Compact"/>
              <w:keepLines/>
              <w:jc w:val="left"/>
            </w:pPr>
            <w:r>
              <w:rPr>
                <w:sz w:val="17"/>
              </w:rPr>
              <w:t xml:space="preserve">ICC and bound</w:t>
            </w:r>
          </w:p>
        </w:tc>
        <w:tc>
          <w:tcPr>
            <w:tcW w:w="3466" w:type="dxa"/>
          </w:tcPr>
          <w:p>
            <w:pPr>
              <w:pStyle w:val="Compact"/>
              <w:keepLines/>
              <w:jc w:val="left"/>
            </w:pPr>
            <w:r>
              <w:rPr>
                <w:sz w:val="17"/>
              </w:rPr>
              <w:t xml:space="preserve">Real-data check of the bound (RQ2)</w:t>
            </w:r>
          </w:p>
        </w:tc>
        <w:tc>
          <w:tcPr>
            <w:tcW w:w="3687" w:type="dxa"/>
          </w:tcPr>
          <w:p>
            <w:pPr>
              <w:pStyle w:val="Compact"/>
              <w:keepLines/>
              <w:jc w:val="left"/>
            </w:pPr>
            <w:r>
              <w:rPr>
                <w:sz w:val="17"/>
              </w:rPr>
              <w:t xml:space="preserve">One-way ANOVA ICC of group-held-out residuals; Eq. (6) bound versus observed inflation</w:t>
            </w:r>
          </w:p>
        </w:tc>
      </w:tr>
      <w:tr>
        <w:trPr>
          <w:cantSplit w:val="true"/>
        </w:trPr>
        <w:tc>
          <w:tcPr>
            <w:tcW w:w="1917" w:type="dxa"/>
          </w:tcPr>
          <w:p>
            <w:pPr>
              <w:pStyle w:val="Compact"/>
              <w:keepLines/>
              <w:jc w:val="left"/>
            </w:pPr>
            <w:r>
              <w:rPr>
                <w:sz w:val="17"/>
              </w:rPr>
              <w:t xml:space="preserve">Leakage fraction</w:t>
            </w:r>
          </w:p>
        </w:tc>
        <w:tc>
          <w:tcPr>
            <w:tcW w:w="3466" w:type="dxa"/>
          </w:tcPr>
          <w:p>
            <w:pPr>
              <w:pStyle w:val="Compact"/>
              <w:keepLines/>
              <w:jc w:val="left"/>
            </w:pPr>
            <w:r>
              <w:rPr>
                <w:sz w:val="17"/>
              </w:rPr>
              <w:t xml:space="preserve">Validate Eq. (12) (RQ1)</w:t>
            </w:r>
          </w:p>
        </w:tc>
        <w:tc>
          <w:tcPr>
            <w:tcW w:w="3687" w:type="dxa"/>
          </w:tcPr>
          <w:p>
            <w:pPr>
              <w:pStyle w:val="Compact"/>
              <w:keepLines/>
              <w:jc w:val="left"/>
            </w:pPr>
            <w:r>
              <w:rPr>
                <w:sz w:val="17"/>
              </w:rPr>
              <w:t xml:space="preserve">Predicted and measured fraction of test rows with a training group-mate</w:t>
            </w:r>
          </w:p>
        </w:tc>
      </w:tr>
      <w:tr>
        <w:trPr>
          <w:cantSplit w:val="true"/>
        </w:trPr>
        <w:tc>
          <w:tcPr>
            <w:tcW w:w="1917" w:type="dxa"/>
          </w:tcPr>
          <w:p>
            <w:pPr>
              <w:pStyle w:val="Compact"/>
              <w:keepLines/>
              <w:jc w:val="left"/>
            </w:pPr>
            <w:r>
              <w:rPr>
                <w:sz w:val="17"/>
              </w:rPr>
              <w:t xml:space="preserve">Learning curves</w:t>
            </w:r>
          </w:p>
        </w:tc>
        <w:tc>
          <w:tcPr>
            <w:tcW w:w="3466" w:type="dxa"/>
          </w:tcPr>
          <w:p>
            <w:pPr>
              <w:pStyle w:val="Compact"/>
              <w:keepLines/>
              <w:jc w:val="left"/>
            </w:pPr>
            <w:r>
              <w:rPr>
                <w:sz w:val="17"/>
              </w:rPr>
              <w:t xml:space="preserve">Effect of the number of training groups (RQ5)</w:t>
            </w:r>
          </w:p>
        </w:tc>
        <w:tc>
          <w:tcPr>
            <w:tcW w:w="3687" w:type="dxa"/>
          </w:tcPr>
          <w:p>
            <w:pPr>
              <w:pStyle w:val="Compact"/>
              <w:keepLines/>
              <w:jc w:val="left"/>
            </w:pPr>
            <w:r>
              <w:rPr>
                <w:sz w:val="17"/>
              </w:rPr>
              <w:t xml:space="preserve">Train on</w:t>
            </w:r>
            <w:r>
              <w:rPr>
                <w:sz w:val="17"/>
              </w:rPr>
              <w:t xml:space="preserve"> </w:t>
            </w:r>
            <m:oMath>
              <m:r>
                <m:t>g</m:t>
              </m:r>
            </m:oMath>
            <w:r>
              <w:rPr>
                <w:sz w:val="17"/>
              </w:rPr>
              <w:t xml:space="preserve"> </w:t>
            </w:r>
            <w:r>
              <w:rPr>
                <w:sz w:val="17"/>
              </w:rPr>
              <w:t xml:space="preserve">randomly chosen groups, test on unseen groups; random comparator with the same number of training rows</w:t>
            </w:r>
          </w:p>
        </w:tc>
      </w:tr>
      <w:tr>
        <w:trPr>
          <w:cantSplit w:val="true"/>
        </w:trPr>
        <w:tc>
          <w:tcPr>
            <w:tcW w:w="1917" w:type="dxa"/>
          </w:tcPr>
          <w:p>
            <w:pPr>
              <w:pStyle w:val="Compact"/>
              <w:keepLines/>
              <w:jc w:val="left"/>
            </w:pPr>
            <w:r>
              <w:rPr>
                <w:sz w:val="17"/>
              </w:rPr>
              <w:t xml:space="preserve">Concrete stratification</w:t>
            </w:r>
          </w:p>
        </w:tc>
        <w:tc>
          <w:tcPr>
            <w:tcW w:w="3466" w:type="dxa"/>
          </w:tcPr>
          <w:p>
            <w:pPr>
              <w:pStyle w:val="Compact"/>
              <w:keepLines/>
              <w:jc w:val="left"/>
            </w:pPr>
            <w:r>
              <w:rPr>
                <w:sz w:val="17"/>
              </w:rPr>
              <w:t xml:space="preserve">Effect of group size on leakage (RQ1)</w:t>
            </w:r>
          </w:p>
        </w:tc>
        <w:tc>
          <w:tcPr>
            <w:tcW w:w="3687" w:type="dxa"/>
          </w:tcPr>
          <w:p>
            <w:pPr>
              <w:pStyle w:val="Compact"/>
              <w:keepLines/>
              <w:jc w:val="left"/>
            </w:pPr>
            <w:r>
              <w:rPr>
                <w:sz w:val="17"/>
              </w:rPr>
              <w:t xml:space="preserve">Random-split error stratified by the number of other rows of the same mix</w:t>
            </w:r>
          </w:p>
        </w:tc>
      </w:tr>
      <w:tr>
        <w:trPr>
          <w:cantSplit w:val="true"/>
        </w:trPr>
        <w:tc>
          <w:tcPr>
            <w:tcW w:w="1917" w:type="dxa"/>
          </w:tcPr>
          <w:p>
            <w:pPr>
              <w:pStyle w:val="Compact"/>
              <w:keepLines/>
              <w:jc w:val="left"/>
            </w:pPr>
            <w:r>
              <w:rPr>
                <w:sz w:val="17"/>
              </w:rPr>
              <w:t xml:space="preserve">Tuning paths</w:t>
            </w:r>
          </w:p>
        </w:tc>
        <w:tc>
          <w:tcPr>
            <w:tcW w:w="3466" w:type="dxa"/>
          </w:tcPr>
          <w:p>
            <w:pPr>
              <w:pStyle w:val="Compact"/>
              <w:keepLines/>
              <w:jc w:val="left"/>
            </w:pPr>
            <w:r>
              <w:rPr>
                <w:sz w:val="17"/>
              </w:rPr>
              <w:t xml:space="preserve">Mechanism of tuning leakage (RQ3)</w:t>
            </w:r>
          </w:p>
        </w:tc>
        <w:tc>
          <w:tcPr>
            <w:tcW w:w="3687" w:type="dxa"/>
          </w:tcPr>
          <w:p>
            <w:pPr>
              <w:pStyle w:val="Compact"/>
              <w:keepLines/>
              <w:jc w:val="left"/>
            </w:pPr>
            <w:r>
              <w:rPr>
                <w:sz w:val="17"/>
              </w:rPr>
              <w:t xml:space="preserve">ENB2012 leave-one-geometry-out: inner random, inner grouped and true held-out error versus</w:t>
            </w:r>
            <w:r>
              <w:rPr>
                <w:sz w:val="17"/>
              </w:rPr>
              <w:t xml:space="preserve"> </w:t>
            </w:r>
            <m:oMath>
              <m:r>
                <m:t>γ</m:t>
              </m:r>
            </m:oMath>
            <w:r>
              <w:rPr>
                <w:sz w:val="17"/>
              </w:rPr>
              <w:t xml:space="preserve"> </w:t>
            </w:r>
            <w:r>
              <w:rPr>
                <w:sz w:val="17"/>
              </w:rPr>
              <w:t xml:space="preserve">and</w:t>
            </w:r>
            <w:r>
              <w:rPr>
                <w:sz w:val="17"/>
              </w:rPr>
              <w:t xml:space="preserve"> </w:t>
            </w:r>
            <m:oMath>
              <m:r>
                <m:t>k</m:t>
              </m:r>
            </m:oMath>
          </w:p>
        </w:tc>
      </w:tr>
      <w:tr>
        <w:trPr>
          <w:cantSplit w:val="true"/>
        </w:trPr>
        <w:tc>
          <w:tcPr>
            <w:tcW w:w="1917" w:type="dxa"/>
          </w:tcPr>
          <w:p>
            <w:pPr>
              <w:pStyle w:val="Compact"/>
              <w:keepLines/>
              <w:jc w:val="left"/>
            </w:pPr>
            <w:r>
              <w:rPr>
                <w:sz w:val="17"/>
              </w:rPr>
              <w:t xml:space="preserve">Parkinson’s feature sets</w:t>
            </w:r>
          </w:p>
        </w:tc>
        <w:tc>
          <w:tcPr>
            <w:tcW w:w="3466" w:type="dxa"/>
          </w:tcPr>
          <w:p>
            <w:pPr>
              <w:pStyle w:val="Compact"/>
              <w:keepLines/>
              <w:jc w:val="left"/>
            </w:pPr>
            <w:r>
              <w:rPr>
                <w:sz w:val="17"/>
              </w:rPr>
              <w:t xml:space="preserve">Which features carry patient identity (RQ4)</w:t>
            </w:r>
          </w:p>
        </w:tc>
        <w:tc>
          <w:tcPr>
            <w:tcW w:w="3687" w:type="dxa"/>
          </w:tcPr>
          <w:p>
            <w:pPr>
              <w:pStyle w:val="Compact"/>
              <w:keepLines/>
              <w:jc w:val="left"/>
            </w:pPr>
            <w:r>
              <w:rPr>
                <w:sz w:val="17"/>
              </w:rPr>
              <w:t xml:space="preserve">Five feature subsets, ridge, forest, boosting, random versus patient-held-out</w:t>
            </w:r>
          </w:p>
        </w:tc>
      </w:tr>
      <w:tr>
        <w:trPr>
          <w:cantSplit w:val="true"/>
        </w:trPr>
        <w:tc>
          <w:tcPr>
            <w:tcW w:w="1917" w:type="dxa"/>
          </w:tcPr>
          <w:p>
            <w:pPr>
              <w:pStyle w:val="Compact"/>
              <w:keepLines/>
              <w:jc w:val="left"/>
            </w:pPr>
            <w:r>
              <w:rPr>
                <w:sz w:val="17"/>
              </w:rPr>
              <w:t xml:space="preserve">Per-patient skill</w:t>
            </w:r>
          </w:p>
        </w:tc>
        <w:tc>
          <w:tcPr>
            <w:tcW w:w="3466" w:type="dxa"/>
          </w:tcPr>
          <w:p>
            <w:pPr>
              <w:pStyle w:val="Compact"/>
              <w:keepLines/>
              <w:jc w:val="left"/>
            </w:pPr>
            <w:r>
              <w:rPr>
                <w:sz w:val="17"/>
              </w:rPr>
              <w:t xml:space="preserve">Heterogeneity of skill (RQ4)</w:t>
            </w:r>
          </w:p>
        </w:tc>
        <w:tc>
          <w:tcPr>
            <w:tcW w:w="3687" w:type="dxa"/>
          </w:tcPr>
          <w:p>
            <w:pPr>
              <w:pStyle w:val="Compact"/>
              <w:keepLines/>
              <w:jc w:val="left"/>
            </w:pPr>
            <w:r>
              <w:rPr>
                <w:sz w:val="17"/>
              </w:rPr>
              <w:t xml:space="preserve">Patient-level RMSE versus the training-mean predictor</w:t>
            </w:r>
          </w:p>
        </w:tc>
      </w:tr>
      <w:tr>
        <w:trPr>
          <w:cantSplit w:val="true"/>
        </w:trPr>
        <w:tc>
          <w:tcPr>
            <w:tcW w:w="1917" w:type="dxa"/>
          </w:tcPr>
          <w:p>
            <w:pPr>
              <w:pStyle w:val="Compact"/>
              <w:keepLines/>
              <w:jc w:val="left"/>
            </w:pPr>
            <w:r>
              <w:rPr>
                <w:sz w:val="17"/>
              </w:rPr>
              <w:t xml:space="preserve">Calibration</w:t>
            </w:r>
          </w:p>
        </w:tc>
        <w:tc>
          <w:tcPr>
            <w:tcW w:w="3466" w:type="dxa"/>
          </w:tcPr>
          <w:p>
            <w:pPr>
              <w:pStyle w:val="Compact"/>
              <w:keepLines/>
              <w:jc w:val="left"/>
            </w:pPr>
            <w:r>
              <w:rPr>
                <w:sz w:val="17"/>
              </w:rPr>
              <w:t xml:space="preserve">Value of a few rows from a new group (RQ4)</w:t>
            </w:r>
          </w:p>
        </w:tc>
        <w:tc>
          <w:tcPr>
            <w:tcW w:w="3687" w:type="dxa"/>
          </w:tcPr>
          <w:p>
            <w:pPr>
              <w:pStyle w:val="Compact"/>
              <w:keepLines/>
              <w:jc w:val="left"/>
            </w:pPr>
            <w:r>
              <w:rPr>
                <w:sz w:val="17"/>
              </w:rPr>
              <w:t xml:space="preserve">Offset correction and weighted retraining with the first</w:t>
            </w:r>
            <w:r>
              <w:rPr>
                <w:sz w:val="17"/>
              </w:rPr>
              <w:t xml:space="preserve"> </w:t>
            </w:r>
            <m:oMath>
              <m:r>
                <m:t>n</m:t>
              </m:r>
              <m:r>
                <m:rPr>
                  <m:sty m:val="p"/>
                </m:rPr>
                <m:t>∈</m:t>
              </m:r>
              <m:r>
                <m:rPr>
                  <m:sty m:val="p"/>
                </m:rPr>
                <m:t>{</m:t>
              </m:r>
              <m:r>
                <m:t>0</m:t>
              </m:r>
              <m:r>
                <m:rPr>
                  <m:sty m:val="p"/>
                </m:rPr>
                <m:t>,</m:t>
              </m:r>
              <m:r>
                <m:t>5</m:t>
              </m:r>
              <m:r>
                <m:rPr>
                  <m:sty m:val="p"/>
                </m:rPr>
                <m:t>,</m:t>
              </m:r>
              <m:r>
                <m:t>10</m:t>
              </m:r>
              <m:r>
                <m:rPr>
                  <m:sty m:val="p"/>
                </m:rPr>
                <m:t>,</m:t>
              </m:r>
              <m:r>
                <m:t>20</m:t>
              </m:r>
              <m:r>
                <m:rPr>
                  <m:sty m:val="p"/>
                </m:rPr>
                <m:t>,</m:t>
              </m:r>
              <m:r>
                <m:t>40</m:t>
              </m:r>
              <m:r>
                <m:rPr>
                  <m:sty m:val="p"/>
                </m:rPr>
                <m:t>}</m:t>
              </m:r>
            </m:oMath>
            <w:r>
              <w:rPr>
                <w:sz w:val="17"/>
              </w:rPr>
              <w:t xml:space="preserve"> </w:t>
            </w:r>
            <w:r>
              <w:rPr>
                <w:sz w:val="17"/>
              </w:rPr>
              <w:t xml:space="preserve">recordings of a new patient, compared with the patient’s own running mean</w:t>
            </w:r>
          </w:p>
        </w:tc>
      </w:tr>
      <w:tr>
        <w:trPr>
          <w:cantSplit w:val="true"/>
        </w:trPr>
        <w:tc>
          <w:tcPr>
            <w:tcW w:w="1917" w:type="dxa"/>
          </w:tcPr>
          <w:p>
            <w:pPr>
              <w:pStyle w:val="Compact"/>
              <w:keepLines/>
              <w:jc w:val="left"/>
            </w:pPr>
            <w:r>
              <w:rPr>
                <w:sz w:val="17"/>
              </w:rPr>
              <w:t xml:space="preserve">Sensitivity</w:t>
            </w:r>
          </w:p>
        </w:tc>
        <w:tc>
          <w:tcPr>
            <w:tcW w:w="3466" w:type="dxa"/>
          </w:tcPr>
          <w:p>
            <w:pPr>
              <w:pStyle w:val="Compact"/>
              <w:keepLines/>
              <w:jc w:val="left"/>
            </w:pPr>
            <w:r>
              <w:rPr>
                <w:sz w:val="17"/>
              </w:rPr>
              <w:t xml:space="preserve">Robustness to</w:t>
            </w:r>
            <w:r>
              <w:rPr>
                <w:sz w:val="17"/>
              </w:rPr>
              <w:t xml:space="preserve"> </w:t>
            </w:r>
            <m:oMath>
              <m:r>
                <m:t>K</m:t>
              </m:r>
            </m:oMath>
            <w:r>
              <w:rPr>
                <w:sz w:val="17"/>
              </w:rPr>
              <w:t xml:space="preserve"> </w:t>
            </w:r>
            <w:r>
              <w:rPr>
                <w:sz w:val="17"/>
              </w:rPr>
              <w:t xml:space="preserve">and fold seed (RQ5)</w:t>
            </w:r>
          </w:p>
        </w:tc>
        <w:tc>
          <w:tcPr>
            <w:tcW w:w="3687" w:type="dxa"/>
          </w:tcPr>
          <w:p>
            <w:pPr>
              <w:pStyle w:val="Compact"/>
              <w:keepLines/>
              <w:jc w:val="left"/>
            </w:pPr>
            <m:oMath>
              <m:r>
                <m:t>K</m:t>
              </m:r>
              <m:r>
                <m:rPr>
                  <m:sty m:val="p"/>
                </m:rPr>
                <m:t>∈</m:t>
              </m:r>
              <m:r>
                <m:rPr>
                  <m:sty m:val="p"/>
                </m:rPr>
                <m:t>{</m:t>
              </m:r>
              <m:r>
                <m:t>3</m:t>
              </m:r>
              <m:r>
                <m:rPr>
                  <m:sty m:val="p"/>
                </m:rPr>
                <m:t>,</m:t>
              </m:r>
              <m:r>
                <m:rPr>
                  <m:sty m:val="p"/>
                </m:rPr>
                <m:t>…</m:t>
              </m:r>
              <m:r>
                <m:rPr>
                  <m:sty m:val="p"/>
                </m:rPr>
                <m:t>,</m:t>
              </m:r>
              <m:r>
                <m:t>20</m:t>
              </m:r>
              <m:r>
                <m:rPr>
                  <m:sty m:val="p"/>
                </m:rPr>
                <m:t>}</m:t>
              </m:r>
            </m:oMath>
            <w:r>
              <w:rPr>
                <w:sz w:val="17"/>
              </w:rPr>
              <w:t xml:space="preserve">, 3 fold-assignment seeds</w:t>
            </w:r>
          </w:p>
        </w:tc>
      </w:tr>
    </w:tbl>
    <w:bookmarkEnd w:id="46"/>
    <w:bookmarkStart w:id="47" w:name="computing-and-reproducibility"/>
    <w:p>
      <w:pPr>
        <w:pStyle w:val="Heading2"/>
      </w:pPr>
      <w:r>
        <w:rPr>
          <w:rStyle w:val="SectionNumber"/>
        </w:rPr>
        <w:t xml:space="preserve">5.7</w:t>
      </w:r>
      <w:r>
        <w:tab/>
      </w:r>
      <w:r>
        <w:t xml:space="preserve">Computing and reproducibility</w:t>
      </w:r>
    </w:p>
    <w:p>
      <w:pPr>
        <w:pStyle w:val="FirstParagraph"/>
      </w:pPr>
      <w:r>
        <w:t xml:space="preserve">All experiments were run in a cloud container with four CPU cores (Python 3.11, scikit-learn 1.9.1, numpy 2.4.6, pandas 3.0.6, scipy 1.17.1, matplotlib 3.11.2). The main ENB2012 experiment takes about 30 minutes, the Concrete and Parkinson’s experiments together about one hour, and the supplementary experiments about one hour more. Per-fold results, summary tables and figures are stored in the repository; all scripts take the random seed 42 and can be re-run from the repository root.</w:t>
      </w:r>
    </w:p>
    <w:bookmarkEnd w:id="47"/>
    <w:bookmarkEnd w:id="48"/>
    <w:bookmarkStart w:id="108" w:name="results"/>
    <w:p>
      <w:pPr>
        <w:pStyle w:val="Heading1"/>
      </w:pPr>
      <w:r>
        <w:rPr>
          <w:rStyle w:val="SectionNumber"/>
        </w:rPr>
        <w:t xml:space="preserve">6</w:t>
      </w:r>
      <w:r>
        <w:tab/>
      </w:r>
      <w:r>
        <w:t xml:space="preserve">Results</w:t>
      </w:r>
    </w:p>
    <w:bookmarkStart w:id="63" w:name="random-versus-group-held-out-evaluation"/>
    <w:p>
      <w:pPr>
        <w:pStyle w:val="Heading2"/>
      </w:pPr>
      <w:r>
        <w:rPr>
          <w:rStyle w:val="SectionNumber"/>
        </w:rPr>
        <w:t xml:space="preserve">6.1</w:t>
      </w:r>
      <w:r>
        <w:tab/>
      </w:r>
      <w:r>
        <w:t xml:space="preserve">Random versus group-held-out evaluation</w:t>
      </w:r>
    </w:p>
    <w:bookmarkStart w:id="52" w:name="leakage-fraction"/>
    <w:p>
      <w:pPr>
        <w:pStyle w:val="Heading3"/>
      </w:pPr>
      <w:r>
        <w:rPr>
          <w:rStyle w:val="SectionNumber"/>
        </w:rPr>
        <w:t xml:space="preserve">6.1.1</w:t>
      </w:r>
      <w:r>
        <w:tab/>
      </w:r>
      <w:r>
        <w:t xml:space="preserve">Leakage fraction</w:t>
      </w:r>
    </w:p>
    <w:p>
      <w:pPr>
        <w:pStyle w:val="FirstParagraph"/>
      </w:pPr>
      <w:r>
        <w:t xml:space="preserve">Under random splitting, 100% of the test rows of ENB2012 and of Parkinson’s have at least one group-mate in the training set, against 75.4% for Concrete (measured with the folds used in the experiments; Eq. (12) predicts 75.3% for</w:t>
      </w:r>
      <w:r>
        <w:t xml:space="preserve"> </w:t>
      </w:r>
      <m:oMath>
        <m:r>
          <m:t>K</m:t>
        </m:r>
        <m:r>
          <m:rPr>
            <m:sty m:val="p"/>
          </m:rPr>
          <m:t>=</m:t>
        </m:r>
        <m:r>
          <m:t>10</m:t>
        </m:r>
      </m:oMath>
      <w:r>
        <w:t xml:space="preserve">, Fig. 3). Under group-held-out splitting the fraction is zero by construction. The closed-form prediction agrees with the measured values to within 0.2 percentage points, and the curves in Fig. 3 show that the fraction depends very little on the number of folds once</w:t>
      </w:r>
      <w:r>
        <w:t xml:space="preserve"> </w:t>
      </w:r>
      <m:oMath>
        <m:r>
          <m:t>K</m:t>
        </m:r>
        <m:r>
          <m:rPr>
            <m:sty m:val="p"/>
          </m:rPr>
          <m:t>≥</m:t>
        </m:r>
        <m:r>
          <m:t>5</m:t>
        </m:r>
      </m:oMath>
      <w:r>
        <w:t xml:space="preserve"> </w:t>
      </w:r>
      <w:r>
        <w:t xml:space="preserve">(for Concrete it rises from 74.3% at</w:t>
      </w:r>
      <w:r>
        <w:t xml:space="preserve"> </w:t>
      </w:r>
      <m:oMath>
        <m:r>
          <m:t>K</m:t>
        </m:r>
        <m:r>
          <m:rPr>
            <m:sty m:val="p"/>
          </m:rPr>
          <m:t>=</m:t>
        </m:r>
        <m:r>
          <m:t>5</m:t>
        </m:r>
      </m:oMath>
      <w:r>
        <w:t xml:space="preserve"> </w:t>
      </w:r>
      <w:r>
        <w:t xml:space="preserve">to 75.7% at</w:t>
      </w:r>
      <w:r>
        <w:t xml:space="preserve"> </w:t>
      </w:r>
      <m:oMath>
        <m:r>
          <m:t>K</m:t>
        </m:r>
        <m:r>
          <m:rPr>
            <m:sty m:val="p"/>
          </m:rPr>
          <m:t>=</m:t>
        </m:r>
        <m:r>
          <m:t>20</m:t>
        </m:r>
      </m:oMath>
      <w:r>
        <w:t xml:space="preserve">): leakage cannot be avoided by choosing a different</w:t>
      </w:r>
      <w:r>
        <w:t xml:space="preserve"> </w:t>
      </w:r>
      <m:oMath>
        <m:r>
          <m:t>K</m:t>
        </m:r>
      </m:oMath>
      <w:r>
        <w:t xml:space="preserve">.</w:t>
      </w:r>
    </w:p>
    <w:p>
      <w:pPr>
        <w:pStyle w:val="CaptionedFigure"/>
        <w:keepNext/>
        <w:spacing w:before="120"/>
        <w:jc w:val="center"/>
      </w:pPr>
      <w:r>
        <w:drawing>
          <wp:inline>
            <wp:extent cx="3566160" cy="2593570"/>
            <wp:effectExtent b="0" l="0" r="0" t="0"/>
            <wp:docPr descr="Fig. 3. Expected fraction of test rows with at least one training group-mate under random K-fold cross-validation (Eq. 12, lines) and measured with the folds used in this study (crosses)." title="" id="50" name="Picture"/>
            <a:graphic>
              <a:graphicData uri="http://schemas.openxmlformats.org/drawingml/2006/picture">
                <pic:pic>
                  <pic:nvPicPr>
                    <pic:cNvPr descr="../figures/paper/fig03_leakage_fraction.png" id="51" name="Picture"/>
                    <pic:cNvPicPr>
                      <a:picLocks noChangeArrowheads="1" noChangeAspect="1"/>
                    </pic:cNvPicPr>
                  </pic:nvPicPr>
                  <pic:blipFill>
                    <a:blip r:embed="rId49"/>
                    <a:stretch>
                      <a:fillRect/>
                    </a:stretch>
                  </pic:blipFill>
                  <pic:spPr bwMode="auto">
                    <a:xfrm>
                      <a:off x="0" y="0"/>
                      <a:ext cx="3566160" cy="2593570"/>
                    </a:xfrm>
                    <a:prstGeom prst="rect">
                      <a:avLst/>
                    </a:prstGeom>
                    <a:noFill/>
                    <a:ln w="9525">
                      <a:noFill/>
                      <a:headEnd/>
                      <a:tailEnd/>
                    </a:ln>
                  </pic:spPr>
                </pic:pic>
              </a:graphicData>
            </a:graphic>
          </wp:inline>
        </w:drawing>
      </w:r>
    </w:p>
    <w:p>
      <w:pPr>
        <w:pStyle w:val="ImageCaption"/>
      </w:pPr>
      <w:r>
        <w:t xml:space="preserve">Fig. 3. Expected fraction of test rows with at least one training group-mate under random K-fold cross-validation (Eq. 12, lines) and measured with the folds used in this study (crosses).</w:t>
      </w:r>
    </w:p>
    <w:bookmarkEnd w:id="52"/>
    <w:bookmarkStart w:id="53" w:name="enb2012"/>
    <w:p>
      <w:pPr>
        <w:pStyle w:val="Heading3"/>
      </w:pPr>
      <w:r>
        <w:rPr>
          <w:rStyle w:val="SectionNumber"/>
        </w:rPr>
        <w:t xml:space="preserve">6.1.2</w:t>
      </w:r>
      <w:r>
        <w:tab/>
      </w:r>
      <w:r>
        <w:t xml:space="preserve">ENB2012</w:t>
      </w:r>
    </w:p>
    <w:p>
      <w:pPr>
        <w:pStyle w:val="FirstParagraph"/>
      </w:pPr>
      <w:r>
        <w:t xml:space="preserve">Tables 7 and 8 report the RMSE for heating and cooling load under the three protocols. Under random 12-fold cross-validation the ordering of the models is the familiar one: gradient boosting (heating RMSE 0.41, cooling 1.25 kWh/m²) and random forest (0.47, 1.59) are best, followed by SVR, kNN and ridge regression (2.93, 3.19). Under leave-one-geometry-out evaluation the picture changes. The two tree ensembles lose a factor of 8.8–9.5 on heating load and 3.0–3.7 on cooling load, whereas ridge regression, kNN and SVR lose 1.1–1.7 (heating) and 1.1–1.6 (cooling). Support-vector regression (heating 2.95, cooling 3.31) and ridge regression (3.23, 3.50) become the most accurate models, and every model remains clearly better than the training-mean predictor (leave-one-geometry-out RMSE 10.92 for heating and 10.31 for cooling).</w:t>
      </w:r>
    </w:p>
    <w:p>
      <w:pPr>
        <w:pStyle w:val="TableCaption"/>
      </w:pPr>
      <w:r>
        <w:t xml:space="preserve">Table 7. ENB2012, heating load: RMSE (kWh/m²), mean and 95% bootstrap interval over folds. Gap = leave-one-geometry-out RMSE / random RMSE.</w:t>
      </w:r>
      <w:r>
        <w:t xml:space="preserve"> </w:t>
      </w:r>
      <m:oMath>
        <m:sSup>
          <m:e>
            <m:r>
              <m:t>R</m:t>
            </m:r>
          </m:e>
          <m:sup>
            <m:r>
              <m:t>2</m:t>
            </m:r>
          </m:sup>
        </m:sSup>
      </m:oMath>
      <w:r>
        <w:t xml:space="preserve"> </w:t>
      </w:r>
      <w:r>
        <w:t xml:space="preserve">is the pooled out-of-fold coefficient of determination under leave-one-geometry-out evaluation.</w:t>
      </w:r>
    </w:p>
    <w:tbl>
      <w:tblPr>
        <w:tblStyle w:val="Table"/>
        <w:tblW w:w="9071" w:type="dxa"/>
        <w:tblBorders>
          <w:top w:val="single" w:sz="12" w:space="0" w:color="000000"/>
          <w:left w:val="nil"/>
          <w:bottom w:val="single" w:sz="12"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Caption w:val="Table 7. ENB2012, heating load: RMSE (kWh/m²), mean and 95% bootstrap interval over folds. Gap = leave-one-geometry-out RMSE / random RMSE. R^2 is the pooled out-of-fold coefficient of determination under leave-one-geometry-out evaluation."/>
      </w:tblPr>
      <w:tblGrid>
        <w:gridCol w:w="2288"/>
        <w:gridCol w:w="1610"/>
        <w:gridCol w:w="2034"/>
        <w:gridCol w:w="1780"/>
        <w:gridCol w:w="678"/>
        <w:gridCol w:w="678"/>
      </w:tblGrid>
      <w:tr>
        <w:trPr>
          <w:cantSplit w:val="true"/>
          <w:tblHeader w:val="on"/>
          <w:tblHeader w:val="true"/>
        </w:trPr>
        <w:tc>
          <w:tcPr>
            <w:tcW w:w="2288" w:type="dxa"/>
            <w:tcBorders>
              <w:bottom w:val="single" w:sz="6" w:space="0" w:color="000000"/>
            </w:tcBorders>
          </w:tcPr>
          <w:p>
            <w:pPr>
              <w:pStyle w:val="Compact"/>
              <w:keepLines/>
              <w:jc w:val="left"/>
            </w:pPr>
            <w:r>
              <w:rPr>
                <w:b/>
                <w:sz w:val="17"/>
              </w:rPr>
              <w:t xml:space="preserve">Model</w:t>
            </w:r>
          </w:p>
        </w:tc>
        <w:tc>
          <w:tcPr>
            <w:tcW w:w="1610" w:type="dxa"/>
            <w:tcBorders>
              <w:bottom w:val="single" w:sz="6" w:space="0" w:color="000000"/>
            </w:tcBorders>
          </w:tcPr>
          <w:p>
            <w:pPr>
              <w:pStyle w:val="Compact"/>
              <w:keepLines/>
              <w:jc w:val="left"/>
            </w:pPr>
            <w:r>
              <w:rPr>
                <w:b/>
                <w:sz w:val="17"/>
              </w:rPr>
              <w:t xml:space="preserve">Random 12-fold</w:t>
            </w:r>
          </w:p>
        </w:tc>
        <w:tc>
          <w:tcPr>
            <w:tcW w:w="2034" w:type="dxa"/>
            <w:tcBorders>
              <w:bottom w:val="single" w:sz="6" w:space="0" w:color="000000"/>
            </w:tcBorders>
          </w:tcPr>
          <w:p>
            <w:pPr>
              <w:pStyle w:val="Compact"/>
              <w:keepLines/>
              <w:jc w:val="left"/>
            </w:pPr>
            <w:r>
              <w:rPr>
                <w:b/>
                <w:sz w:val="17"/>
              </w:rPr>
              <w:t xml:space="preserve">Leave-one-geometry-out</w:t>
            </w:r>
          </w:p>
        </w:tc>
        <w:tc>
          <w:tcPr>
            <w:tcW w:w="1780" w:type="dxa"/>
            <w:tcBorders>
              <w:bottom w:val="single" w:sz="6" w:space="0" w:color="000000"/>
            </w:tcBorders>
          </w:tcPr>
          <w:p>
            <w:pPr>
              <w:pStyle w:val="Compact"/>
              <w:keepLines/>
              <w:jc w:val="left"/>
            </w:pPr>
            <w:r>
              <w:rPr>
                <w:b/>
                <w:sz w:val="17"/>
              </w:rPr>
              <w:t xml:space="preserve">3-geometry hold-out</w:t>
            </w:r>
          </w:p>
        </w:tc>
        <w:tc>
          <w:tcPr>
            <w:tcW w:w="678" w:type="dxa"/>
            <w:tcBorders>
              <w:bottom w:val="single" w:sz="6" w:space="0" w:color="000000"/>
            </w:tcBorders>
          </w:tcPr>
          <w:p>
            <w:pPr>
              <w:pStyle w:val="Compact"/>
              <w:keepLines/>
              <w:jc w:val="right"/>
            </w:pPr>
            <w:r>
              <w:rPr>
                <w:b/>
                <w:sz w:val="17"/>
              </w:rPr>
              <w:t xml:space="preserve">Gap</w:t>
            </w:r>
          </w:p>
        </w:tc>
        <w:tc>
          <w:tcPr>
            <w:tcW w:w="678" w:type="dxa"/>
            <w:tcBorders>
              <w:bottom w:val="single" w:sz="6" w:space="0" w:color="000000"/>
            </w:tcBorders>
          </w:tcPr>
          <w:p>
            <w:pPr>
              <w:pStyle w:val="Compact"/>
              <w:keepLines/>
              <w:jc w:val="right"/>
            </w:pPr>
            <m:oMath>
              <m:sSup>
                <m:e>
                  <m:r>
                    <m:t>R</m:t>
                  </m:r>
                </m:e>
                <m:sup>
                  <m:r>
                    <m:t>2</m:t>
                  </m:r>
                </m:sup>
              </m:sSup>
            </m:oMath>
            <w:r>
              <w:rPr>
                <w:b/>
                <w:sz w:val="17"/>
              </w:rPr>
              <w:t xml:space="preserve"> </w:t>
            </w:r>
            <w:r>
              <w:rPr>
                <w:b/>
                <w:sz w:val="17"/>
              </w:rPr>
              <w:t xml:space="preserve">(LOSO)</w:t>
            </w:r>
          </w:p>
        </w:tc>
      </w:tr>
      <w:tr>
        <w:trPr>
          <w:cantSplit w:val="true"/>
        </w:trPr>
        <w:tc>
          <w:tcPr>
            <w:tcW w:w="2288" w:type="dxa"/>
          </w:tcPr>
          <w:p>
            <w:pPr>
              <w:pStyle w:val="Compact"/>
              <w:keepLines/>
              <w:jc w:val="left"/>
            </w:pPr>
            <w:r>
              <w:rPr>
                <w:sz w:val="17"/>
              </w:rPr>
              <w:t xml:space="preserve">Ridge</w:t>
            </w:r>
          </w:p>
        </w:tc>
        <w:tc>
          <w:tcPr>
            <w:tcW w:w="1610" w:type="dxa"/>
          </w:tcPr>
          <w:p>
            <w:pPr>
              <w:pStyle w:val="Compact"/>
              <w:keepLines/>
              <w:jc w:val="left"/>
            </w:pPr>
            <w:r>
              <w:rPr>
                <w:sz w:val="17"/>
              </w:rPr>
              <w:t xml:space="preserve">2.93 [2.81, 3.06]</w:t>
            </w:r>
          </w:p>
        </w:tc>
        <w:tc>
          <w:tcPr>
            <w:tcW w:w="2034" w:type="dxa"/>
          </w:tcPr>
          <w:p>
            <w:pPr>
              <w:pStyle w:val="Compact"/>
              <w:keepLines/>
              <w:jc w:val="left"/>
            </w:pPr>
            <w:r>
              <w:rPr>
                <w:sz w:val="17"/>
              </w:rPr>
              <w:t xml:space="preserve">3.23 [2.09, 4.74]</w:t>
            </w:r>
          </w:p>
        </w:tc>
        <w:tc>
          <w:tcPr>
            <w:tcW w:w="1780" w:type="dxa"/>
          </w:tcPr>
          <w:p>
            <w:pPr>
              <w:pStyle w:val="Compact"/>
              <w:keepLines/>
              <w:jc w:val="left"/>
            </w:pPr>
            <w:r>
              <w:rPr>
                <w:sz w:val="17"/>
              </w:rPr>
              <w:t xml:space="preserve">4.17 [3.38, 5.05]</w:t>
            </w:r>
          </w:p>
        </w:tc>
        <w:tc>
          <w:tcPr>
            <w:tcW w:w="678" w:type="dxa"/>
          </w:tcPr>
          <w:p>
            <w:pPr>
              <w:pStyle w:val="Compact"/>
              <w:keepLines/>
              <w:jc w:val="right"/>
            </w:pPr>
            <w:r>
              <w:rPr>
                <w:sz w:val="17"/>
              </w:rPr>
              <w:t xml:space="preserve">1.1</w:t>
            </w:r>
          </w:p>
        </w:tc>
        <w:tc>
          <w:tcPr>
            <w:tcW w:w="678" w:type="dxa"/>
          </w:tcPr>
          <w:p>
            <w:pPr>
              <w:pStyle w:val="Compact"/>
              <w:keepLines/>
              <w:jc w:val="right"/>
            </w:pPr>
            <w:r>
              <w:rPr>
                <w:sz w:val="17"/>
              </w:rPr>
              <w:t xml:space="preserve">0.84</w:t>
            </w:r>
          </w:p>
        </w:tc>
      </w:tr>
      <w:tr>
        <w:trPr>
          <w:cantSplit w:val="true"/>
        </w:trPr>
        <w:tc>
          <w:tcPr>
            <w:tcW w:w="2288" w:type="dxa"/>
          </w:tcPr>
          <w:p>
            <w:pPr>
              <w:pStyle w:val="Compact"/>
              <w:keepLines/>
              <w:jc w:val="left"/>
            </w:pPr>
            <w:r>
              <w:rPr>
                <w:sz w:val="17"/>
              </w:rPr>
              <w:t xml:space="preserve">kNN</w:t>
            </w:r>
          </w:p>
        </w:tc>
        <w:tc>
          <w:tcPr>
            <w:tcW w:w="1610" w:type="dxa"/>
          </w:tcPr>
          <w:p>
            <w:pPr>
              <w:pStyle w:val="Compact"/>
              <w:keepLines/>
              <w:jc w:val="left"/>
            </w:pPr>
            <w:r>
              <w:rPr>
                <w:sz w:val="17"/>
              </w:rPr>
              <w:t xml:space="preserve">2.21 [2.09, 2.33]</w:t>
            </w:r>
          </w:p>
        </w:tc>
        <w:tc>
          <w:tcPr>
            <w:tcW w:w="2034" w:type="dxa"/>
          </w:tcPr>
          <w:p>
            <w:pPr>
              <w:pStyle w:val="Compact"/>
              <w:keepLines/>
              <w:jc w:val="left"/>
            </w:pPr>
            <w:r>
              <w:rPr>
                <w:sz w:val="17"/>
              </w:rPr>
              <w:t xml:space="preserve">3.66 [1.97, 5.78]</w:t>
            </w:r>
          </w:p>
        </w:tc>
        <w:tc>
          <w:tcPr>
            <w:tcW w:w="1780" w:type="dxa"/>
          </w:tcPr>
          <w:p>
            <w:pPr>
              <w:pStyle w:val="Compact"/>
              <w:keepLines/>
              <w:jc w:val="left"/>
            </w:pPr>
            <w:r>
              <w:rPr>
                <w:sz w:val="17"/>
              </w:rPr>
              <w:t xml:space="preserve">4.28 [3.50, 5.14]</w:t>
            </w:r>
          </w:p>
        </w:tc>
        <w:tc>
          <w:tcPr>
            <w:tcW w:w="678" w:type="dxa"/>
          </w:tcPr>
          <w:p>
            <w:pPr>
              <w:pStyle w:val="Compact"/>
              <w:keepLines/>
              <w:jc w:val="right"/>
            </w:pPr>
            <w:r>
              <w:rPr>
                <w:sz w:val="17"/>
              </w:rPr>
              <w:t xml:space="preserve">1.7</w:t>
            </w:r>
          </w:p>
        </w:tc>
        <w:tc>
          <w:tcPr>
            <w:tcW w:w="678" w:type="dxa"/>
          </w:tcPr>
          <w:p>
            <w:pPr>
              <w:pStyle w:val="Compact"/>
              <w:keepLines/>
              <w:jc w:val="right"/>
            </w:pPr>
            <w:r>
              <w:rPr>
                <w:sz w:val="17"/>
              </w:rPr>
              <w:t xml:space="preserve">0.75</w:t>
            </w:r>
          </w:p>
        </w:tc>
      </w:tr>
      <w:tr>
        <w:trPr>
          <w:cantSplit w:val="true"/>
        </w:trPr>
        <w:tc>
          <w:tcPr>
            <w:tcW w:w="2288" w:type="dxa"/>
          </w:tcPr>
          <w:p>
            <w:pPr>
              <w:pStyle w:val="Compact"/>
              <w:keepLines/>
              <w:jc w:val="left"/>
            </w:pPr>
            <w:r>
              <w:rPr>
                <w:sz w:val="17"/>
              </w:rPr>
              <w:t xml:space="preserve">SVR (RBF)</w:t>
            </w:r>
          </w:p>
        </w:tc>
        <w:tc>
          <w:tcPr>
            <w:tcW w:w="1610" w:type="dxa"/>
          </w:tcPr>
          <w:p>
            <w:pPr>
              <w:pStyle w:val="Compact"/>
              <w:keepLines/>
              <w:jc w:val="left"/>
            </w:pPr>
            <w:r>
              <w:rPr>
                <w:sz w:val="17"/>
              </w:rPr>
              <w:t xml:space="preserve">1.88 [1.72, 2.05]</w:t>
            </w:r>
          </w:p>
        </w:tc>
        <w:tc>
          <w:tcPr>
            <w:tcW w:w="2034" w:type="dxa"/>
          </w:tcPr>
          <w:p>
            <w:pPr>
              <w:pStyle w:val="Compact"/>
              <w:keepLines/>
              <w:jc w:val="left"/>
            </w:pPr>
            <w:r>
              <w:rPr>
                <w:b/>
                <w:bCs/>
                <w:sz w:val="17"/>
              </w:rPr>
              <w:t xml:space="preserve">2.95</w:t>
            </w:r>
            <w:r>
              <w:rPr>
                <w:sz w:val="17"/>
              </w:rPr>
              <w:t xml:space="preserve"> </w:t>
            </w:r>
            <w:r>
              <w:rPr>
                <w:sz w:val="17"/>
              </w:rPr>
              <w:t xml:space="preserve">[1.82, 4.36]</w:t>
            </w:r>
          </w:p>
        </w:tc>
        <w:tc>
          <w:tcPr>
            <w:tcW w:w="1780" w:type="dxa"/>
          </w:tcPr>
          <w:p>
            <w:pPr>
              <w:pStyle w:val="Compact"/>
              <w:keepLines/>
              <w:jc w:val="left"/>
            </w:pPr>
            <w:r>
              <w:rPr>
                <w:sz w:val="17"/>
              </w:rPr>
              <w:t xml:space="preserve">3.87 [3.36, 4.43]</w:t>
            </w:r>
          </w:p>
        </w:tc>
        <w:tc>
          <w:tcPr>
            <w:tcW w:w="678" w:type="dxa"/>
          </w:tcPr>
          <w:p>
            <w:pPr>
              <w:pStyle w:val="Compact"/>
              <w:keepLines/>
              <w:jc w:val="right"/>
            </w:pPr>
            <w:r>
              <w:rPr>
                <w:sz w:val="17"/>
              </w:rPr>
              <w:t xml:space="preserve">1.6</w:t>
            </w:r>
          </w:p>
        </w:tc>
        <w:tc>
          <w:tcPr>
            <w:tcW w:w="678" w:type="dxa"/>
          </w:tcPr>
          <w:p>
            <w:pPr>
              <w:pStyle w:val="Compact"/>
              <w:keepLines/>
              <w:jc w:val="right"/>
            </w:pPr>
            <w:r>
              <w:rPr>
                <w:sz w:val="17"/>
              </w:rPr>
              <w:t xml:space="preserve">0.86</w:t>
            </w:r>
          </w:p>
        </w:tc>
      </w:tr>
      <w:tr>
        <w:trPr>
          <w:cantSplit w:val="true"/>
        </w:trPr>
        <w:tc>
          <w:tcPr>
            <w:tcW w:w="2288" w:type="dxa"/>
          </w:tcPr>
          <w:p>
            <w:pPr>
              <w:pStyle w:val="Compact"/>
              <w:keepLines/>
              <w:jc w:val="left"/>
            </w:pPr>
            <w:r>
              <w:rPr>
                <w:sz w:val="17"/>
              </w:rPr>
              <w:t xml:space="preserve">Random forest</w:t>
            </w:r>
          </w:p>
        </w:tc>
        <w:tc>
          <w:tcPr>
            <w:tcW w:w="1610" w:type="dxa"/>
          </w:tcPr>
          <w:p>
            <w:pPr>
              <w:pStyle w:val="Compact"/>
              <w:keepLines/>
              <w:jc w:val="left"/>
            </w:pPr>
            <w:r>
              <w:rPr>
                <w:sz w:val="17"/>
              </w:rPr>
              <w:t xml:space="preserve">0.47 [0.44, 0.50]</w:t>
            </w:r>
          </w:p>
        </w:tc>
        <w:tc>
          <w:tcPr>
            <w:tcW w:w="2034" w:type="dxa"/>
          </w:tcPr>
          <w:p>
            <w:pPr>
              <w:pStyle w:val="Compact"/>
              <w:keepLines/>
              <w:jc w:val="left"/>
            </w:pPr>
            <w:r>
              <w:rPr>
                <w:sz w:val="17"/>
              </w:rPr>
              <w:t xml:space="preserve">4.14 [2.09, 6.51]</w:t>
            </w:r>
          </w:p>
        </w:tc>
        <w:tc>
          <w:tcPr>
            <w:tcW w:w="1780" w:type="dxa"/>
          </w:tcPr>
          <w:p>
            <w:pPr>
              <w:pStyle w:val="Compact"/>
              <w:keepLines/>
              <w:jc w:val="left"/>
            </w:pPr>
            <w:r>
              <w:rPr>
                <w:sz w:val="17"/>
              </w:rPr>
              <w:t xml:space="preserve">4.00 [3.02, 5.10]</w:t>
            </w:r>
          </w:p>
        </w:tc>
        <w:tc>
          <w:tcPr>
            <w:tcW w:w="678" w:type="dxa"/>
          </w:tcPr>
          <w:p>
            <w:pPr>
              <w:pStyle w:val="Compact"/>
              <w:keepLines/>
              <w:jc w:val="right"/>
            </w:pPr>
            <w:r>
              <w:rPr>
                <w:sz w:val="17"/>
              </w:rPr>
              <w:t xml:space="preserve">8.8</w:t>
            </w:r>
          </w:p>
        </w:tc>
        <w:tc>
          <w:tcPr>
            <w:tcW w:w="678" w:type="dxa"/>
          </w:tcPr>
          <w:p>
            <w:pPr>
              <w:pStyle w:val="Compact"/>
              <w:keepLines/>
              <w:jc w:val="right"/>
            </w:pPr>
            <w:r>
              <w:rPr>
                <w:sz w:val="17"/>
              </w:rPr>
              <w:t xml:space="preserve">0.68</w:t>
            </w:r>
          </w:p>
        </w:tc>
      </w:tr>
      <w:tr>
        <w:trPr>
          <w:cantSplit w:val="true"/>
        </w:trPr>
        <w:tc>
          <w:tcPr>
            <w:tcW w:w="2288" w:type="dxa"/>
          </w:tcPr>
          <w:p>
            <w:pPr>
              <w:pStyle w:val="Compact"/>
              <w:keepLines/>
              <w:jc w:val="left"/>
            </w:pPr>
            <w:r>
              <w:rPr>
                <w:sz w:val="17"/>
              </w:rPr>
              <w:t xml:space="preserve">Gradient boosting</w:t>
            </w:r>
          </w:p>
        </w:tc>
        <w:tc>
          <w:tcPr>
            <w:tcW w:w="1610" w:type="dxa"/>
          </w:tcPr>
          <w:p>
            <w:pPr>
              <w:pStyle w:val="Compact"/>
              <w:keepLines/>
              <w:jc w:val="left"/>
            </w:pPr>
            <w:r>
              <w:rPr>
                <w:b/>
                <w:bCs/>
                <w:sz w:val="17"/>
              </w:rPr>
              <w:t xml:space="preserve">0.41</w:t>
            </w:r>
            <w:r>
              <w:rPr>
                <w:sz w:val="17"/>
              </w:rPr>
              <w:t xml:space="preserve"> </w:t>
            </w:r>
            <w:r>
              <w:rPr>
                <w:sz w:val="17"/>
              </w:rPr>
              <w:t xml:space="preserve">[0.38, 0.43]</w:t>
            </w:r>
          </w:p>
        </w:tc>
        <w:tc>
          <w:tcPr>
            <w:tcW w:w="2034" w:type="dxa"/>
          </w:tcPr>
          <w:p>
            <w:pPr>
              <w:pStyle w:val="Compact"/>
              <w:keepLines/>
              <w:jc w:val="left"/>
            </w:pPr>
            <w:r>
              <w:rPr>
                <w:sz w:val="17"/>
              </w:rPr>
              <w:t xml:space="preserve">3.86 [1.99, 5.91]</w:t>
            </w:r>
          </w:p>
        </w:tc>
        <w:tc>
          <w:tcPr>
            <w:tcW w:w="1780" w:type="dxa"/>
          </w:tcPr>
          <w:p>
            <w:pPr>
              <w:pStyle w:val="Compact"/>
              <w:keepLines/>
              <w:jc w:val="left"/>
            </w:pPr>
            <w:r>
              <w:rPr>
                <w:sz w:val="17"/>
              </w:rPr>
              <w:t xml:space="preserve">4.40 [3.55, 5.26]</w:t>
            </w:r>
          </w:p>
        </w:tc>
        <w:tc>
          <w:tcPr>
            <w:tcW w:w="678" w:type="dxa"/>
          </w:tcPr>
          <w:p>
            <w:pPr>
              <w:pStyle w:val="Compact"/>
              <w:keepLines/>
              <w:jc w:val="right"/>
            </w:pPr>
            <w:r>
              <w:rPr>
                <w:sz w:val="17"/>
              </w:rPr>
              <w:t xml:space="preserve">9.5</w:t>
            </w:r>
          </w:p>
        </w:tc>
        <w:tc>
          <w:tcPr>
            <w:tcW w:w="678" w:type="dxa"/>
          </w:tcPr>
          <w:p>
            <w:pPr>
              <w:pStyle w:val="Compact"/>
              <w:keepLines/>
              <w:jc w:val="right"/>
            </w:pPr>
            <w:r>
              <w:rPr>
                <w:sz w:val="17"/>
              </w:rPr>
              <w:t xml:space="preserve">0.73</w:t>
            </w:r>
          </w:p>
        </w:tc>
      </w:tr>
      <w:tr>
        <w:trPr>
          <w:cantSplit w:val="true"/>
        </w:trPr>
        <w:tc>
          <w:tcPr>
            <w:tcW w:w="2288" w:type="dxa"/>
          </w:tcPr>
          <w:p>
            <w:pPr>
              <w:pStyle w:val="Compact"/>
              <w:keepLines/>
              <w:jc w:val="left"/>
            </w:pPr>
            <w:r>
              <w:rPr>
                <w:sz w:val="17"/>
              </w:rPr>
              <w:t xml:space="preserve">Ridge + phys</w:t>
            </w:r>
          </w:p>
        </w:tc>
        <w:tc>
          <w:tcPr>
            <w:tcW w:w="1610" w:type="dxa"/>
          </w:tcPr>
          <w:p>
            <w:pPr>
              <w:pStyle w:val="Compact"/>
              <w:keepLines/>
              <w:jc w:val="left"/>
            </w:pPr>
            <w:r>
              <w:rPr>
                <w:sz w:val="17"/>
              </w:rPr>
              <w:t xml:space="preserve">2.20 [2.09, 2.31]</w:t>
            </w:r>
          </w:p>
        </w:tc>
        <w:tc>
          <w:tcPr>
            <w:tcW w:w="2034" w:type="dxa"/>
          </w:tcPr>
          <w:p>
            <w:pPr>
              <w:pStyle w:val="Compact"/>
              <w:keepLines/>
              <w:jc w:val="left"/>
            </w:pPr>
            <w:r>
              <w:rPr>
                <w:sz w:val="17"/>
              </w:rPr>
              <w:t xml:space="preserve">3.40 [2.14, 5.01]</w:t>
            </w:r>
          </w:p>
        </w:tc>
        <w:tc>
          <w:tcPr>
            <w:tcW w:w="1780" w:type="dxa"/>
          </w:tcPr>
          <w:p>
            <w:pPr>
              <w:pStyle w:val="Compact"/>
              <w:keepLines/>
              <w:jc w:val="left"/>
            </w:pPr>
            <w:r>
              <w:rPr>
                <w:sz w:val="17"/>
              </w:rPr>
              <w:t xml:space="preserve">3.78 [3.13, 4.51]</w:t>
            </w:r>
          </w:p>
        </w:tc>
        <w:tc>
          <w:tcPr>
            <w:tcW w:w="678" w:type="dxa"/>
          </w:tcPr>
          <w:p>
            <w:pPr>
              <w:pStyle w:val="Compact"/>
              <w:keepLines/>
              <w:jc w:val="right"/>
            </w:pPr>
            <w:r>
              <w:rPr>
                <w:sz w:val="17"/>
              </w:rPr>
              <w:t xml:space="preserve">1.5</w:t>
            </w:r>
          </w:p>
        </w:tc>
        <w:tc>
          <w:tcPr>
            <w:tcW w:w="678" w:type="dxa"/>
          </w:tcPr>
          <w:p>
            <w:pPr>
              <w:pStyle w:val="Compact"/>
              <w:keepLines/>
              <w:jc w:val="right"/>
            </w:pPr>
            <w:r>
              <w:rPr>
                <w:sz w:val="17"/>
              </w:rPr>
              <w:t xml:space="preserve">0.82</w:t>
            </w:r>
          </w:p>
        </w:tc>
      </w:tr>
      <w:tr>
        <w:trPr>
          <w:cantSplit w:val="true"/>
        </w:trPr>
        <w:tc>
          <w:tcPr>
            <w:tcW w:w="2288" w:type="dxa"/>
          </w:tcPr>
          <w:p>
            <w:pPr>
              <w:pStyle w:val="Compact"/>
              <w:keepLines/>
              <w:jc w:val="left"/>
            </w:pPr>
            <w:r>
              <w:rPr>
                <w:sz w:val="17"/>
              </w:rPr>
              <w:t xml:space="preserve">GBM + phys</w:t>
            </w:r>
          </w:p>
        </w:tc>
        <w:tc>
          <w:tcPr>
            <w:tcW w:w="1610" w:type="dxa"/>
          </w:tcPr>
          <w:p>
            <w:pPr>
              <w:pStyle w:val="Compact"/>
              <w:keepLines/>
              <w:jc w:val="left"/>
            </w:pPr>
            <w:r>
              <w:rPr>
                <w:sz w:val="17"/>
              </w:rPr>
              <w:t xml:space="preserve">0.39 [0.37, 0.41]</w:t>
            </w:r>
          </w:p>
        </w:tc>
        <w:tc>
          <w:tcPr>
            <w:tcW w:w="2034" w:type="dxa"/>
          </w:tcPr>
          <w:p>
            <w:pPr>
              <w:pStyle w:val="Compact"/>
              <w:keepLines/>
              <w:jc w:val="left"/>
            </w:pPr>
            <w:r>
              <w:rPr>
                <w:sz w:val="17"/>
              </w:rPr>
              <w:t xml:space="preserve">4.41 [2.40, 6.66]</w:t>
            </w:r>
          </w:p>
        </w:tc>
        <w:tc>
          <w:tcPr>
            <w:tcW w:w="1780" w:type="dxa"/>
          </w:tcPr>
          <w:p>
            <w:pPr>
              <w:pStyle w:val="Compact"/>
              <w:keepLines/>
              <w:jc w:val="left"/>
            </w:pPr>
            <w:r>
              <w:rPr>
                <w:sz w:val="17"/>
              </w:rPr>
              <w:t xml:space="preserve">4.50 [3.63, 5.37]</w:t>
            </w:r>
          </w:p>
        </w:tc>
        <w:tc>
          <w:tcPr>
            <w:tcW w:w="678" w:type="dxa"/>
          </w:tcPr>
          <w:p>
            <w:pPr>
              <w:pStyle w:val="Compact"/>
              <w:keepLines/>
              <w:jc w:val="right"/>
            </w:pPr>
            <w:r>
              <w:rPr>
                <w:sz w:val="17"/>
              </w:rPr>
              <w:t xml:space="preserve">11.3</w:t>
            </w:r>
          </w:p>
        </w:tc>
        <w:tc>
          <w:tcPr>
            <w:tcW w:w="678" w:type="dxa"/>
          </w:tcPr>
          <w:p>
            <w:pPr>
              <w:pStyle w:val="Compact"/>
              <w:keepLines/>
              <w:jc w:val="right"/>
            </w:pPr>
            <w:r>
              <w:rPr>
                <w:sz w:val="17"/>
              </w:rPr>
              <w:t xml:space="preserve">0.66</w:t>
            </w:r>
          </w:p>
        </w:tc>
      </w:tr>
      <w:tr>
        <w:trPr>
          <w:cantSplit w:val="true"/>
        </w:trPr>
        <w:tc>
          <w:tcPr>
            <w:tcW w:w="2288" w:type="dxa"/>
          </w:tcPr>
          <w:p>
            <w:pPr>
              <w:pStyle w:val="Compact"/>
              <w:keepLines/>
              <w:jc w:val="left"/>
            </w:pPr>
            <w:r>
              <w:rPr>
                <w:sz w:val="17"/>
              </w:rPr>
              <w:t xml:space="preserve">Hybrid (ridge→GBM) + phys</w:t>
            </w:r>
          </w:p>
        </w:tc>
        <w:tc>
          <w:tcPr>
            <w:tcW w:w="1610" w:type="dxa"/>
          </w:tcPr>
          <w:p>
            <w:pPr>
              <w:pStyle w:val="Compact"/>
              <w:keepLines/>
              <w:jc w:val="left"/>
            </w:pPr>
            <w:r>
              <w:rPr>
                <w:sz w:val="17"/>
              </w:rPr>
              <w:t xml:space="preserve">0.53 [0.49, 0.56]</w:t>
            </w:r>
          </w:p>
        </w:tc>
        <w:tc>
          <w:tcPr>
            <w:tcW w:w="2034" w:type="dxa"/>
          </w:tcPr>
          <w:p>
            <w:pPr>
              <w:pStyle w:val="Compact"/>
              <w:keepLines/>
              <w:jc w:val="left"/>
            </w:pPr>
            <w:r>
              <w:rPr>
                <w:sz w:val="17"/>
              </w:rPr>
              <w:t xml:space="preserve">3.40 [2.05, 5.07]</w:t>
            </w:r>
          </w:p>
        </w:tc>
        <w:tc>
          <w:tcPr>
            <w:tcW w:w="1780" w:type="dxa"/>
          </w:tcPr>
          <w:p>
            <w:pPr>
              <w:pStyle w:val="Compact"/>
              <w:keepLines/>
              <w:jc w:val="left"/>
            </w:pPr>
            <w:r>
              <w:rPr>
                <w:b/>
                <w:bCs/>
                <w:sz w:val="17"/>
              </w:rPr>
              <w:t xml:space="preserve">3.68</w:t>
            </w:r>
            <w:r>
              <w:rPr>
                <w:sz w:val="17"/>
              </w:rPr>
              <w:t xml:space="preserve"> </w:t>
            </w:r>
            <w:r>
              <w:rPr>
                <w:sz w:val="17"/>
              </w:rPr>
              <w:t xml:space="preserve">[2.97, 4.50]</w:t>
            </w:r>
          </w:p>
        </w:tc>
        <w:tc>
          <w:tcPr>
            <w:tcW w:w="678" w:type="dxa"/>
          </w:tcPr>
          <w:p>
            <w:pPr>
              <w:pStyle w:val="Compact"/>
              <w:keepLines/>
              <w:jc w:val="right"/>
            </w:pPr>
            <w:r>
              <w:rPr>
                <w:sz w:val="17"/>
              </w:rPr>
              <w:t xml:space="preserve">6.5</w:t>
            </w:r>
          </w:p>
        </w:tc>
        <w:tc>
          <w:tcPr>
            <w:tcW w:w="678" w:type="dxa"/>
          </w:tcPr>
          <w:p>
            <w:pPr>
              <w:pStyle w:val="Compact"/>
              <w:keepLines/>
              <w:jc w:val="right"/>
            </w:pPr>
            <w:r>
              <w:rPr>
                <w:sz w:val="17"/>
              </w:rPr>
              <w:t xml:space="preserve">0.81</w:t>
            </w:r>
          </w:p>
        </w:tc>
      </w:tr>
    </w:tbl>
    <w:p/>
    <w:p>
      <w:pPr>
        <w:pStyle w:val="TableCaption"/>
      </w:pPr>
      <w:r>
        <w:t xml:space="preserve">Table 8. ENB2012, cooling load: RMSE (kWh/m²), same layout as Table 7.</w:t>
      </w:r>
    </w:p>
    <w:tbl>
      <w:tblPr>
        <w:tblStyle w:val="Table"/>
        <w:tblW w:w="9071" w:type="dxa"/>
        <w:tblBorders>
          <w:top w:val="single" w:sz="12" w:space="0" w:color="000000"/>
          <w:left w:val="nil"/>
          <w:bottom w:val="single" w:sz="12"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Caption w:val="Table 8. ENB2012, cooling load: RMSE (kWh/m²), same layout as Table 7."/>
      </w:tblPr>
      <w:tblGrid>
        <w:gridCol w:w="2288"/>
        <w:gridCol w:w="1610"/>
        <w:gridCol w:w="2034"/>
        <w:gridCol w:w="1780"/>
        <w:gridCol w:w="678"/>
        <w:gridCol w:w="678"/>
      </w:tblGrid>
      <w:tr>
        <w:trPr>
          <w:cantSplit w:val="true"/>
          <w:tblHeader w:val="on"/>
          <w:tblHeader w:val="true"/>
        </w:trPr>
        <w:tc>
          <w:tcPr>
            <w:tcW w:w="2288" w:type="dxa"/>
            <w:tcBorders>
              <w:bottom w:val="single" w:sz="6" w:space="0" w:color="000000"/>
            </w:tcBorders>
          </w:tcPr>
          <w:p>
            <w:pPr>
              <w:pStyle w:val="Compact"/>
              <w:keepLines/>
              <w:jc w:val="left"/>
            </w:pPr>
            <w:r>
              <w:rPr>
                <w:b/>
                <w:sz w:val="17"/>
              </w:rPr>
              <w:t xml:space="preserve">Model</w:t>
            </w:r>
          </w:p>
        </w:tc>
        <w:tc>
          <w:tcPr>
            <w:tcW w:w="1610" w:type="dxa"/>
            <w:tcBorders>
              <w:bottom w:val="single" w:sz="6" w:space="0" w:color="000000"/>
            </w:tcBorders>
          </w:tcPr>
          <w:p>
            <w:pPr>
              <w:pStyle w:val="Compact"/>
              <w:keepLines/>
              <w:jc w:val="left"/>
            </w:pPr>
            <w:r>
              <w:rPr>
                <w:b/>
                <w:sz w:val="17"/>
              </w:rPr>
              <w:t xml:space="preserve">Random 12-fold</w:t>
            </w:r>
          </w:p>
        </w:tc>
        <w:tc>
          <w:tcPr>
            <w:tcW w:w="2034" w:type="dxa"/>
            <w:tcBorders>
              <w:bottom w:val="single" w:sz="6" w:space="0" w:color="000000"/>
            </w:tcBorders>
          </w:tcPr>
          <w:p>
            <w:pPr>
              <w:pStyle w:val="Compact"/>
              <w:keepLines/>
              <w:jc w:val="left"/>
            </w:pPr>
            <w:r>
              <w:rPr>
                <w:b/>
                <w:sz w:val="17"/>
              </w:rPr>
              <w:t xml:space="preserve">Leave-one-geometry-out</w:t>
            </w:r>
          </w:p>
        </w:tc>
        <w:tc>
          <w:tcPr>
            <w:tcW w:w="1780" w:type="dxa"/>
            <w:tcBorders>
              <w:bottom w:val="single" w:sz="6" w:space="0" w:color="000000"/>
            </w:tcBorders>
          </w:tcPr>
          <w:p>
            <w:pPr>
              <w:pStyle w:val="Compact"/>
              <w:keepLines/>
              <w:jc w:val="left"/>
            </w:pPr>
            <w:r>
              <w:rPr>
                <w:b/>
                <w:sz w:val="17"/>
              </w:rPr>
              <w:t xml:space="preserve">3-geometry hold-out</w:t>
            </w:r>
          </w:p>
        </w:tc>
        <w:tc>
          <w:tcPr>
            <w:tcW w:w="678" w:type="dxa"/>
            <w:tcBorders>
              <w:bottom w:val="single" w:sz="6" w:space="0" w:color="000000"/>
            </w:tcBorders>
          </w:tcPr>
          <w:p>
            <w:pPr>
              <w:pStyle w:val="Compact"/>
              <w:keepLines/>
              <w:jc w:val="right"/>
            </w:pPr>
            <w:r>
              <w:rPr>
                <w:b/>
                <w:sz w:val="17"/>
              </w:rPr>
              <w:t xml:space="preserve">Gap</w:t>
            </w:r>
          </w:p>
        </w:tc>
        <w:tc>
          <w:tcPr>
            <w:tcW w:w="678" w:type="dxa"/>
            <w:tcBorders>
              <w:bottom w:val="single" w:sz="6" w:space="0" w:color="000000"/>
            </w:tcBorders>
          </w:tcPr>
          <w:p>
            <w:pPr>
              <w:pStyle w:val="Compact"/>
              <w:keepLines/>
              <w:jc w:val="right"/>
            </w:pPr>
            <m:oMath>
              <m:sSup>
                <m:e>
                  <m:r>
                    <m:t>R</m:t>
                  </m:r>
                </m:e>
                <m:sup>
                  <m:r>
                    <m:t>2</m:t>
                  </m:r>
                </m:sup>
              </m:sSup>
            </m:oMath>
            <w:r>
              <w:rPr>
                <w:b/>
                <w:sz w:val="17"/>
              </w:rPr>
              <w:t xml:space="preserve"> </w:t>
            </w:r>
            <w:r>
              <w:rPr>
                <w:b/>
                <w:sz w:val="17"/>
              </w:rPr>
              <w:t xml:space="preserve">(LOSO)</w:t>
            </w:r>
          </w:p>
        </w:tc>
      </w:tr>
      <w:tr>
        <w:trPr>
          <w:cantSplit w:val="true"/>
        </w:trPr>
        <w:tc>
          <w:tcPr>
            <w:tcW w:w="2288" w:type="dxa"/>
          </w:tcPr>
          <w:p>
            <w:pPr>
              <w:pStyle w:val="Compact"/>
              <w:keepLines/>
              <w:jc w:val="left"/>
            </w:pPr>
            <w:r>
              <w:rPr>
                <w:sz w:val="17"/>
              </w:rPr>
              <w:t xml:space="preserve">Ridge</w:t>
            </w:r>
          </w:p>
        </w:tc>
        <w:tc>
          <w:tcPr>
            <w:tcW w:w="1610" w:type="dxa"/>
          </w:tcPr>
          <w:p>
            <w:pPr>
              <w:pStyle w:val="Compact"/>
              <w:keepLines/>
              <w:jc w:val="left"/>
            </w:pPr>
            <w:r>
              <w:rPr>
                <w:sz w:val="17"/>
              </w:rPr>
              <w:t xml:space="preserve">3.19 [3.01, 3.37]</w:t>
            </w:r>
          </w:p>
        </w:tc>
        <w:tc>
          <w:tcPr>
            <w:tcW w:w="2034" w:type="dxa"/>
          </w:tcPr>
          <w:p>
            <w:pPr>
              <w:pStyle w:val="Compact"/>
              <w:keepLines/>
              <w:jc w:val="left"/>
            </w:pPr>
            <w:r>
              <w:rPr>
                <w:sz w:val="17"/>
              </w:rPr>
              <w:t xml:space="preserve">3.50 [2.19, 5.11]</w:t>
            </w:r>
          </w:p>
        </w:tc>
        <w:tc>
          <w:tcPr>
            <w:tcW w:w="1780" w:type="dxa"/>
          </w:tcPr>
          <w:p>
            <w:pPr>
              <w:pStyle w:val="Compact"/>
              <w:keepLines/>
              <w:jc w:val="left"/>
            </w:pPr>
            <w:r>
              <w:rPr>
                <w:sz w:val="17"/>
              </w:rPr>
              <w:t xml:space="preserve">4.62 [3.79, 5.50]</w:t>
            </w:r>
          </w:p>
        </w:tc>
        <w:tc>
          <w:tcPr>
            <w:tcW w:w="678" w:type="dxa"/>
          </w:tcPr>
          <w:p>
            <w:pPr>
              <w:pStyle w:val="Compact"/>
              <w:keepLines/>
              <w:jc w:val="right"/>
            </w:pPr>
            <w:r>
              <w:rPr>
                <w:sz w:val="17"/>
              </w:rPr>
              <w:t xml:space="preserve">1.1</w:t>
            </w:r>
          </w:p>
        </w:tc>
        <w:tc>
          <w:tcPr>
            <w:tcW w:w="678" w:type="dxa"/>
          </w:tcPr>
          <w:p>
            <w:pPr>
              <w:pStyle w:val="Compact"/>
              <w:keepLines/>
              <w:jc w:val="right"/>
            </w:pPr>
            <w:r>
              <w:rPr>
                <w:sz w:val="17"/>
              </w:rPr>
              <w:t xml:space="preserve">0.79</w:t>
            </w:r>
          </w:p>
        </w:tc>
      </w:tr>
      <w:tr>
        <w:trPr>
          <w:cantSplit w:val="true"/>
        </w:trPr>
        <w:tc>
          <w:tcPr>
            <w:tcW w:w="2288" w:type="dxa"/>
          </w:tcPr>
          <w:p>
            <w:pPr>
              <w:pStyle w:val="Compact"/>
              <w:keepLines/>
              <w:jc w:val="left"/>
            </w:pPr>
            <w:r>
              <w:rPr>
                <w:sz w:val="17"/>
              </w:rPr>
              <w:t xml:space="preserve">kNN</w:t>
            </w:r>
          </w:p>
        </w:tc>
        <w:tc>
          <w:tcPr>
            <w:tcW w:w="1610" w:type="dxa"/>
          </w:tcPr>
          <w:p>
            <w:pPr>
              <w:pStyle w:val="Compact"/>
              <w:keepLines/>
              <w:jc w:val="left"/>
            </w:pPr>
            <w:r>
              <w:rPr>
                <w:sz w:val="17"/>
              </w:rPr>
              <w:t xml:space="preserve">2.57 [2.42, 2.72]</w:t>
            </w:r>
          </w:p>
        </w:tc>
        <w:tc>
          <w:tcPr>
            <w:tcW w:w="2034" w:type="dxa"/>
          </w:tcPr>
          <w:p>
            <w:pPr>
              <w:pStyle w:val="Compact"/>
              <w:keepLines/>
              <w:jc w:val="left"/>
            </w:pPr>
            <w:r>
              <w:rPr>
                <w:sz w:val="17"/>
              </w:rPr>
              <w:t xml:space="preserve">4.02 [2.43, 5.98]</w:t>
            </w:r>
          </w:p>
        </w:tc>
        <w:tc>
          <w:tcPr>
            <w:tcW w:w="1780" w:type="dxa"/>
          </w:tcPr>
          <w:p>
            <w:pPr>
              <w:pStyle w:val="Compact"/>
              <w:keepLines/>
              <w:jc w:val="left"/>
            </w:pPr>
            <w:r>
              <w:rPr>
                <w:sz w:val="17"/>
              </w:rPr>
              <w:t xml:space="preserve">4.70 [4.05, 5.44]</w:t>
            </w:r>
          </w:p>
        </w:tc>
        <w:tc>
          <w:tcPr>
            <w:tcW w:w="678" w:type="dxa"/>
          </w:tcPr>
          <w:p>
            <w:pPr>
              <w:pStyle w:val="Compact"/>
              <w:keepLines/>
              <w:jc w:val="right"/>
            </w:pPr>
            <w:r>
              <w:rPr>
                <w:sz w:val="17"/>
              </w:rPr>
              <w:t xml:space="preserve">1.6</w:t>
            </w:r>
          </w:p>
        </w:tc>
        <w:tc>
          <w:tcPr>
            <w:tcW w:w="678" w:type="dxa"/>
          </w:tcPr>
          <w:p>
            <w:pPr>
              <w:pStyle w:val="Compact"/>
              <w:keepLines/>
              <w:jc w:val="right"/>
            </w:pPr>
            <w:r>
              <w:rPr>
                <w:sz w:val="17"/>
              </w:rPr>
              <w:t xml:space="preserve">0.70</w:t>
            </w:r>
          </w:p>
        </w:tc>
      </w:tr>
      <w:tr>
        <w:trPr>
          <w:cantSplit w:val="true"/>
        </w:trPr>
        <w:tc>
          <w:tcPr>
            <w:tcW w:w="2288" w:type="dxa"/>
          </w:tcPr>
          <w:p>
            <w:pPr>
              <w:pStyle w:val="Compact"/>
              <w:keepLines/>
              <w:jc w:val="left"/>
            </w:pPr>
            <w:r>
              <w:rPr>
                <w:sz w:val="17"/>
              </w:rPr>
              <w:t xml:space="preserve">SVR (RBF)</w:t>
            </w:r>
          </w:p>
        </w:tc>
        <w:tc>
          <w:tcPr>
            <w:tcW w:w="1610" w:type="dxa"/>
          </w:tcPr>
          <w:p>
            <w:pPr>
              <w:pStyle w:val="Compact"/>
              <w:keepLines/>
              <w:jc w:val="left"/>
            </w:pPr>
            <w:r>
              <w:rPr>
                <w:sz w:val="17"/>
              </w:rPr>
              <w:t xml:space="preserve">2.29 [2.17, 2.41]</w:t>
            </w:r>
          </w:p>
        </w:tc>
        <w:tc>
          <w:tcPr>
            <w:tcW w:w="2034" w:type="dxa"/>
          </w:tcPr>
          <w:p>
            <w:pPr>
              <w:pStyle w:val="Compact"/>
              <w:keepLines/>
              <w:jc w:val="left"/>
            </w:pPr>
            <w:r>
              <w:rPr>
                <w:b/>
                <w:bCs/>
                <w:sz w:val="17"/>
              </w:rPr>
              <w:t xml:space="preserve">3.31</w:t>
            </w:r>
            <w:r>
              <w:rPr>
                <w:sz w:val="17"/>
              </w:rPr>
              <w:t xml:space="preserve"> </w:t>
            </w:r>
            <w:r>
              <w:rPr>
                <w:sz w:val="17"/>
              </w:rPr>
              <w:t xml:space="preserve">[2.04, 4.91]</w:t>
            </w:r>
          </w:p>
        </w:tc>
        <w:tc>
          <w:tcPr>
            <w:tcW w:w="1780" w:type="dxa"/>
          </w:tcPr>
          <w:p>
            <w:pPr>
              <w:pStyle w:val="Compact"/>
              <w:keepLines/>
              <w:jc w:val="left"/>
            </w:pPr>
            <w:r>
              <w:rPr>
                <w:sz w:val="17"/>
              </w:rPr>
              <w:t xml:space="preserve">4.01 [3.48, 4.62]</w:t>
            </w:r>
          </w:p>
        </w:tc>
        <w:tc>
          <w:tcPr>
            <w:tcW w:w="678" w:type="dxa"/>
          </w:tcPr>
          <w:p>
            <w:pPr>
              <w:pStyle w:val="Compact"/>
              <w:keepLines/>
              <w:jc w:val="right"/>
            </w:pPr>
            <w:r>
              <w:rPr>
                <w:sz w:val="17"/>
              </w:rPr>
              <w:t xml:space="preserve">1.4</w:t>
            </w:r>
          </w:p>
        </w:tc>
        <w:tc>
          <w:tcPr>
            <w:tcW w:w="678" w:type="dxa"/>
          </w:tcPr>
          <w:p>
            <w:pPr>
              <w:pStyle w:val="Compact"/>
              <w:keepLines/>
              <w:jc w:val="right"/>
            </w:pPr>
            <w:r>
              <w:rPr>
                <w:sz w:val="17"/>
              </w:rPr>
              <w:t xml:space="preserve">0.81</w:t>
            </w:r>
          </w:p>
        </w:tc>
      </w:tr>
      <w:tr>
        <w:trPr>
          <w:cantSplit w:val="true"/>
        </w:trPr>
        <w:tc>
          <w:tcPr>
            <w:tcW w:w="2288" w:type="dxa"/>
          </w:tcPr>
          <w:p>
            <w:pPr>
              <w:pStyle w:val="Compact"/>
              <w:keepLines/>
              <w:jc w:val="left"/>
            </w:pPr>
            <w:r>
              <w:rPr>
                <w:sz w:val="17"/>
              </w:rPr>
              <w:t xml:space="preserve">Random forest</w:t>
            </w:r>
          </w:p>
        </w:tc>
        <w:tc>
          <w:tcPr>
            <w:tcW w:w="1610" w:type="dxa"/>
          </w:tcPr>
          <w:p>
            <w:pPr>
              <w:pStyle w:val="Compact"/>
              <w:keepLines/>
              <w:jc w:val="left"/>
            </w:pPr>
            <w:r>
              <w:rPr>
                <w:sz w:val="17"/>
              </w:rPr>
              <w:t xml:space="preserve">1.59 [1.51, 1.67]</w:t>
            </w:r>
          </w:p>
        </w:tc>
        <w:tc>
          <w:tcPr>
            <w:tcW w:w="2034" w:type="dxa"/>
          </w:tcPr>
          <w:p>
            <w:pPr>
              <w:pStyle w:val="Compact"/>
              <w:keepLines/>
              <w:jc w:val="left"/>
            </w:pPr>
            <w:r>
              <w:rPr>
                <w:sz w:val="17"/>
              </w:rPr>
              <w:t xml:space="preserve">4.82 [2.97, 6.90]</w:t>
            </w:r>
          </w:p>
        </w:tc>
        <w:tc>
          <w:tcPr>
            <w:tcW w:w="1780" w:type="dxa"/>
          </w:tcPr>
          <w:p>
            <w:pPr>
              <w:pStyle w:val="Compact"/>
              <w:keepLines/>
              <w:jc w:val="left"/>
            </w:pPr>
            <w:r>
              <w:rPr>
                <w:sz w:val="17"/>
              </w:rPr>
              <w:t xml:space="preserve">4.91 [4.21, 5.75]</w:t>
            </w:r>
          </w:p>
        </w:tc>
        <w:tc>
          <w:tcPr>
            <w:tcW w:w="678" w:type="dxa"/>
          </w:tcPr>
          <w:p>
            <w:pPr>
              <w:pStyle w:val="Compact"/>
              <w:keepLines/>
              <w:jc w:val="right"/>
            </w:pPr>
            <w:r>
              <w:rPr>
                <w:sz w:val="17"/>
              </w:rPr>
              <w:t xml:space="preserve">3.0</w:t>
            </w:r>
          </w:p>
        </w:tc>
        <w:tc>
          <w:tcPr>
            <w:tcW w:w="678" w:type="dxa"/>
          </w:tcPr>
          <w:p>
            <w:pPr>
              <w:pStyle w:val="Compact"/>
              <w:keepLines/>
              <w:jc w:val="right"/>
            </w:pPr>
            <w:r>
              <w:rPr>
                <w:sz w:val="17"/>
              </w:rPr>
              <w:t xml:space="preserve">0.60</w:t>
            </w:r>
          </w:p>
        </w:tc>
      </w:tr>
      <w:tr>
        <w:trPr>
          <w:cantSplit w:val="true"/>
        </w:trPr>
        <w:tc>
          <w:tcPr>
            <w:tcW w:w="2288" w:type="dxa"/>
          </w:tcPr>
          <w:p>
            <w:pPr>
              <w:pStyle w:val="Compact"/>
              <w:keepLines/>
              <w:jc w:val="left"/>
            </w:pPr>
            <w:r>
              <w:rPr>
                <w:sz w:val="17"/>
              </w:rPr>
              <w:t xml:space="preserve">Gradient boosting</w:t>
            </w:r>
          </w:p>
        </w:tc>
        <w:tc>
          <w:tcPr>
            <w:tcW w:w="1610" w:type="dxa"/>
          </w:tcPr>
          <w:p>
            <w:pPr>
              <w:pStyle w:val="Compact"/>
              <w:keepLines/>
              <w:jc w:val="left"/>
            </w:pPr>
            <w:r>
              <w:rPr>
                <w:sz w:val="17"/>
              </w:rPr>
              <w:t xml:space="preserve">1.25 [1.19, 1.30]</w:t>
            </w:r>
          </w:p>
        </w:tc>
        <w:tc>
          <w:tcPr>
            <w:tcW w:w="2034" w:type="dxa"/>
          </w:tcPr>
          <w:p>
            <w:pPr>
              <w:pStyle w:val="Compact"/>
              <w:keepLines/>
              <w:jc w:val="left"/>
            </w:pPr>
            <w:r>
              <w:rPr>
                <w:sz w:val="17"/>
              </w:rPr>
              <w:t xml:space="preserve">4.66 [2.83, 6.81]</w:t>
            </w:r>
          </w:p>
        </w:tc>
        <w:tc>
          <w:tcPr>
            <w:tcW w:w="1780" w:type="dxa"/>
          </w:tcPr>
          <w:p>
            <w:pPr>
              <w:pStyle w:val="Compact"/>
              <w:keepLines/>
              <w:jc w:val="left"/>
            </w:pPr>
            <w:r>
              <w:rPr>
                <w:sz w:val="17"/>
              </w:rPr>
              <w:t xml:space="preserve">4.91 [4.17, 5.66]</w:t>
            </w:r>
          </w:p>
        </w:tc>
        <w:tc>
          <w:tcPr>
            <w:tcW w:w="678" w:type="dxa"/>
          </w:tcPr>
          <w:p>
            <w:pPr>
              <w:pStyle w:val="Compact"/>
              <w:keepLines/>
              <w:jc w:val="right"/>
            </w:pPr>
            <w:r>
              <w:rPr>
                <w:sz w:val="17"/>
              </w:rPr>
              <w:t xml:space="preserve">3.7</w:t>
            </w:r>
          </w:p>
        </w:tc>
        <w:tc>
          <w:tcPr>
            <w:tcW w:w="678" w:type="dxa"/>
          </w:tcPr>
          <w:p>
            <w:pPr>
              <w:pStyle w:val="Compact"/>
              <w:keepLines/>
              <w:jc w:val="right"/>
            </w:pPr>
            <w:r>
              <w:rPr>
                <w:sz w:val="17"/>
              </w:rPr>
              <w:t xml:space="preserve">0.62</w:t>
            </w:r>
          </w:p>
        </w:tc>
      </w:tr>
      <w:tr>
        <w:trPr>
          <w:cantSplit w:val="true"/>
        </w:trPr>
        <w:tc>
          <w:tcPr>
            <w:tcW w:w="2288" w:type="dxa"/>
          </w:tcPr>
          <w:p>
            <w:pPr>
              <w:pStyle w:val="Compact"/>
              <w:keepLines/>
              <w:jc w:val="left"/>
            </w:pPr>
            <w:r>
              <w:rPr>
                <w:sz w:val="17"/>
              </w:rPr>
              <w:t xml:space="preserve">Ridge + phys</w:t>
            </w:r>
          </w:p>
        </w:tc>
        <w:tc>
          <w:tcPr>
            <w:tcW w:w="1610" w:type="dxa"/>
          </w:tcPr>
          <w:p>
            <w:pPr>
              <w:pStyle w:val="Compact"/>
              <w:keepLines/>
              <w:jc w:val="left"/>
            </w:pPr>
            <w:r>
              <w:rPr>
                <w:sz w:val="17"/>
              </w:rPr>
              <w:t xml:space="preserve">2.69 [2.58, 2.81]</w:t>
            </w:r>
          </w:p>
        </w:tc>
        <w:tc>
          <w:tcPr>
            <w:tcW w:w="2034" w:type="dxa"/>
          </w:tcPr>
          <w:p>
            <w:pPr>
              <w:pStyle w:val="Compact"/>
              <w:keepLines/>
              <w:jc w:val="left"/>
            </w:pPr>
            <w:r>
              <w:rPr>
                <w:sz w:val="17"/>
              </w:rPr>
              <w:t xml:space="preserve">3.57 [2.14, 5.25]</w:t>
            </w:r>
          </w:p>
        </w:tc>
        <w:tc>
          <w:tcPr>
            <w:tcW w:w="1780" w:type="dxa"/>
          </w:tcPr>
          <w:p>
            <w:pPr>
              <w:pStyle w:val="Compact"/>
              <w:keepLines/>
              <w:jc w:val="left"/>
            </w:pPr>
            <w:r>
              <w:rPr>
                <w:sz w:val="17"/>
              </w:rPr>
              <w:t xml:space="preserve">4.16 [3.49, 4.92]</w:t>
            </w:r>
          </w:p>
        </w:tc>
        <w:tc>
          <w:tcPr>
            <w:tcW w:w="678" w:type="dxa"/>
          </w:tcPr>
          <w:p>
            <w:pPr>
              <w:pStyle w:val="Compact"/>
              <w:keepLines/>
              <w:jc w:val="right"/>
            </w:pPr>
            <w:r>
              <w:rPr>
                <w:sz w:val="17"/>
              </w:rPr>
              <w:t xml:space="preserve">1.3</w:t>
            </w:r>
          </w:p>
        </w:tc>
        <w:tc>
          <w:tcPr>
            <w:tcW w:w="678" w:type="dxa"/>
          </w:tcPr>
          <w:p>
            <w:pPr>
              <w:pStyle w:val="Compact"/>
              <w:keepLines/>
              <w:jc w:val="right"/>
            </w:pPr>
            <w:r>
              <w:rPr>
                <w:sz w:val="17"/>
              </w:rPr>
              <w:t xml:space="preserve">0.78</w:t>
            </w:r>
          </w:p>
        </w:tc>
      </w:tr>
      <w:tr>
        <w:trPr>
          <w:cantSplit w:val="true"/>
        </w:trPr>
        <w:tc>
          <w:tcPr>
            <w:tcW w:w="2288" w:type="dxa"/>
          </w:tcPr>
          <w:p>
            <w:pPr>
              <w:pStyle w:val="Compact"/>
              <w:keepLines/>
              <w:jc w:val="left"/>
            </w:pPr>
            <w:r>
              <w:rPr>
                <w:sz w:val="17"/>
              </w:rPr>
              <w:t xml:space="preserve">GBM + phys</w:t>
            </w:r>
          </w:p>
        </w:tc>
        <w:tc>
          <w:tcPr>
            <w:tcW w:w="1610" w:type="dxa"/>
          </w:tcPr>
          <w:p>
            <w:pPr>
              <w:pStyle w:val="Compact"/>
              <w:keepLines/>
              <w:jc w:val="left"/>
            </w:pPr>
            <w:r>
              <w:rPr>
                <w:b/>
                <w:bCs/>
                <w:sz w:val="17"/>
              </w:rPr>
              <w:t xml:space="preserve">1.17</w:t>
            </w:r>
            <w:r>
              <w:rPr>
                <w:sz w:val="17"/>
              </w:rPr>
              <w:t xml:space="preserve"> </w:t>
            </w:r>
            <w:r>
              <w:rPr>
                <w:sz w:val="17"/>
              </w:rPr>
              <w:t xml:space="preserve">[1.11, 1.23]</w:t>
            </w:r>
          </w:p>
        </w:tc>
        <w:tc>
          <w:tcPr>
            <w:tcW w:w="2034" w:type="dxa"/>
          </w:tcPr>
          <w:p>
            <w:pPr>
              <w:pStyle w:val="Compact"/>
              <w:keepLines/>
              <w:jc w:val="left"/>
            </w:pPr>
            <w:r>
              <w:rPr>
                <w:sz w:val="17"/>
              </w:rPr>
              <w:t xml:space="preserve">4.81 [2.97, 6.89]</w:t>
            </w:r>
          </w:p>
        </w:tc>
        <w:tc>
          <w:tcPr>
            <w:tcW w:w="1780" w:type="dxa"/>
          </w:tcPr>
          <w:p>
            <w:pPr>
              <w:pStyle w:val="Compact"/>
              <w:keepLines/>
              <w:jc w:val="left"/>
            </w:pPr>
            <w:r>
              <w:rPr>
                <w:sz w:val="17"/>
              </w:rPr>
              <w:t xml:space="preserve">4.64 [3.97, 5.36]</w:t>
            </w:r>
          </w:p>
        </w:tc>
        <w:tc>
          <w:tcPr>
            <w:tcW w:w="678" w:type="dxa"/>
          </w:tcPr>
          <w:p>
            <w:pPr>
              <w:pStyle w:val="Compact"/>
              <w:keepLines/>
              <w:jc w:val="right"/>
            </w:pPr>
            <w:r>
              <w:rPr>
                <w:sz w:val="17"/>
              </w:rPr>
              <w:t xml:space="preserve">4.1</w:t>
            </w:r>
          </w:p>
        </w:tc>
        <w:tc>
          <w:tcPr>
            <w:tcW w:w="678" w:type="dxa"/>
          </w:tcPr>
          <w:p>
            <w:pPr>
              <w:pStyle w:val="Compact"/>
              <w:keepLines/>
              <w:jc w:val="right"/>
            </w:pPr>
            <w:r>
              <w:rPr>
                <w:sz w:val="17"/>
              </w:rPr>
              <w:t xml:space="preserve">0.61</w:t>
            </w:r>
          </w:p>
        </w:tc>
      </w:tr>
      <w:tr>
        <w:trPr>
          <w:cantSplit w:val="true"/>
        </w:trPr>
        <w:tc>
          <w:tcPr>
            <w:tcW w:w="2288" w:type="dxa"/>
          </w:tcPr>
          <w:p>
            <w:pPr>
              <w:pStyle w:val="Compact"/>
              <w:keepLines/>
              <w:jc w:val="left"/>
            </w:pPr>
            <w:r>
              <w:rPr>
                <w:sz w:val="17"/>
              </w:rPr>
              <w:t xml:space="preserve">Hybrid (ridge→GBM) + phys</w:t>
            </w:r>
          </w:p>
        </w:tc>
        <w:tc>
          <w:tcPr>
            <w:tcW w:w="1610" w:type="dxa"/>
          </w:tcPr>
          <w:p>
            <w:pPr>
              <w:pStyle w:val="Compact"/>
              <w:keepLines/>
              <w:jc w:val="left"/>
            </w:pPr>
            <w:r>
              <w:rPr>
                <w:sz w:val="17"/>
              </w:rPr>
              <w:t xml:space="preserve">1.63 [1.56, 1.69]</w:t>
            </w:r>
          </w:p>
        </w:tc>
        <w:tc>
          <w:tcPr>
            <w:tcW w:w="2034" w:type="dxa"/>
          </w:tcPr>
          <w:p>
            <w:pPr>
              <w:pStyle w:val="Compact"/>
              <w:keepLines/>
              <w:jc w:val="left"/>
            </w:pPr>
            <w:r>
              <w:rPr>
                <w:sz w:val="17"/>
              </w:rPr>
              <w:t xml:space="preserve">3.80 [2.32, 5.47]</w:t>
            </w:r>
          </w:p>
        </w:tc>
        <w:tc>
          <w:tcPr>
            <w:tcW w:w="1780" w:type="dxa"/>
          </w:tcPr>
          <w:p>
            <w:pPr>
              <w:pStyle w:val="Compact"/>
              <w:keepLines/>
              <w:jc w:val="left"/>
            </w:pPr>
            <w:r>
              <w:rPr>
                <w:sz w:val="17"/>
              </w:rPr>
              <w:t xml:space="preserve">4.10 [3.38, 4.89]</w:t>
            </w:r>
          </w:p>
        </w:tc>
        <w:tc>
          <w:tcPr>
            <w:tcW w:w="678" w:type="dxa"/>
          </w:tcPr>
          <w:p>
            <w:pPr>
              <w:pStyle w:val="Compact"/>
              <w:keepLines/>
              <w:jc w:val="right"/>
            </w:pPr>
            <w:r>
              <w:rPr>
                <w:sz w:val="17"/>
              </w:rPr>
              <w:t xml:space="preserve">2.3</w:t>
            </w:r>
          </w:p>
        </w:tc>
        <w:tc>
          <w:tcPr>
            <w:tcW w:w="678" w:type="dxa"/>
          </w:tcPr>
          <w:p>
            <w:pPr>
              <w:pStyle w:val="Compact"/>
              <w:keepLines/>
              <w:jc w:val="right"/>
            </w:pPr>
            <w:r>
              <w:rPr>
                <w:sz w:val="17"/>
              </w:rPr>
              <w:t xml:space="preserve">0.76</w:t>
            </w:r>
          </w:p>
        </w:tc>
      </w:tr>
    </w:tbl>
    <w:p>
      <w:pPr>
        <w:pStyle w:val="BodyText"/>
      </w:pPr>
      <w:r>
        <w:t xml:space="preserve">The intervals for the leave-one-geometry-out column are wide (for gradient boosting on heating load 1.99–5.91) because only twelve geometries contribute, and they overlap across models. Paired Wilcoxon signed-rank tests over the twelve geometries do not reach significance for any of the comparisons we examined (all</w:t>
      </w:r>
      <w:r>
        <w:t xml:space="preserve"> </w:t>
      </w:r>
      <m:oMath>
        <m:r>
          <m:t>p</m:t>
        </m:r>
        <m:r>
          <m:rPr>
            <m:sty m:val="p"/>
          </m:rPr>
          <m:t>≥</m:t>
        </m:r>
        <m:r>
          <m:t>0.34</m:t>
        </m:r>
      </m:oMath>
      <w:r>
        <w:t xml:space="preserve">): hybrid versus ridge, hybrid versus gradient boosting, hybrid versus ridge with physics-informed features, ridge with versus without those features, boosting with versus without them, and gradient boosting versus ridge. We therefore describe the reversal in terms of the consistent shift of point estimates and of the flexible-versus-smooth contrast, and not as a proven ordering among the best few models. The 3-geometry hold-out protocol, which trains on only nine geometries, gives larger errors for every model (3.7–4.5 kWh/m² for heating load) and compresses the differences between models further.</w:t>
      </w:r>
    </w:p>
    <w:p>
      <w:pPr>
        <w:pStyle w:val="BodyText"/>
      </w:pPr>
      <w:r>
        <w:rPr>
          <w:b/>
          <w:bCs/>
        </w:rPr>
        <w:t xml:space="preserve">Physics-informed variants.</w:t>
      </w:r>
      <w:r>
        <w:t xml:space="preserve"> </w:t>
      </w:r>
      <w:r>
        <w:t xml:space="preserve">Adding engineered features and a linear-plus-boosting hybrid, motivated by the idea that domain knowledge should help extrapolation, gave no reliable benefit. The extended ridge improved on ridge under random splitting (heating 2.20 versus 2.93) but not on unseen geometries (3.40 versus 3.23); boosting with the extended features was not better than plain boosting under leave-one-geometry-out evaluation (4.41 versus 3.86). The hybrid narrowed the gap relative to plain boosting (6.5 versus 9.5) and had the lowest three-geometry hold-out error for heating load (3.68), but its leave-one-geometry-out error was no better than that of ridge or SVR. With twelve geometries, we cannot claim that these features or the hybrid are improvements.</w:t>
      </w:r>
    </w:p>
    <w:bookmarkEnd w:id="53"/>
    <w:bookmarkStart w:id="54" w:name="concrete"/>
    <w:p>
      <w:pPr>
        <w:pStyle w:val="Heading3"/>
      </w:pPr>
      <w:r>
        <w:rPr>
          <w:rStyle w:val="SectionNumber"/>
        </w:rPr>
        <w:t xml:space="preserve">6.1.3</w:t>
      </w:r>
      <w:r>
        <w:tab/>
      </w:r>
      <w:r>
        <w:t xml:space="preserve">Concrete</w:t>
      </w:r>
    </w:p>
    <w:p>
      <w:pPr>
        <w:pStyle w:val="FirstParagraph"/>
      </w:pPr>
      <w:r>
        <w:t xml:space="preserve">Table 9 shows the contrasting case. With 427 mixes of which 246 are singletons, random and group-held-out RMSE are nearly identical for ridge, kNN and SVR (ratios 1.0), and tree ensembles lose only about a quarter of their accuracy (1.23 and 1.24). The ranking of the models is unchanged: gradient boosting, random forest, SVR, kNN, ridge, in that order under both protocols. All models are far better than the training-mean predictor (RMSE 16.7 under both protocols), so the data support a useful predictor of strength for new mixes. The leakage that does exist is concentrated in the rows that have group-mates (Section 6.4).</w:t>
      </w:r>
    </w:p>
    <w:p>
      <w:pPr>
        <w:pStyle w:val="TableCaption"/>
      </w:pPr>
      <w:r>
        <w:t xml:space="preserve">Table 9. Concrete compressive strength: pooled RMSE (MPa), mean and 95% bootstrap interval over folds, 10 folds × 2 repeats. Random inner tuning refers to the ablation arm with group-held-out outer folds and random inner folds.</w:t>
      </w:r>
    </w:p>
    <w:tbl>
      <w:tblPr>
        <w:tblStyle w:val="Table"/>
        <w:tblW w:w="9071" w:type="dxa"/>
        <w:tblBorders>
          <w:top w:val="single" w:sz="12" w:space="0" w:color="000000"/>
          <w:left w:val="nil"/>
          <w:bottom w:val="single" w:sz="12"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Caption w:val="Table 9. Concrete compressive strength: pooled RMSE (MPa), mean and 95% bootstrap interval over folds, 10 folds × 2 repeats. Random inner tuning refers to the ablation arm with group-held-out outer folds and random inner folds."/>
      </w:tblPr>
      <w:tblGrid>
        <w:gridCol w:w="1673"/>
        <w:gridCol w:w="1937"/>
        <w:gridCol w:w="2201"/>
        <w:gridCol w:w="704"/>
        <w:gridCol w:w="1849"/>
        <w:gridCol w:w="704"/>
      </w:tblGrid>
      <w:tr>
        <w:trPr>
          <w:cantSplit w:val="true"/>
          <w:tblHeader w:val="on"/>
          <w:tblHeader w:val="true"/>
        </w:trPr>
        <w:tc>
          <w:tcPr>
            <w:tcW w:w="1673" w:type="dxa"/>
            <w:tcBorders>
              <w:bottom w:val="single" w:sz="6" w:space="0" w:color="000000"/>
            </w:tcBorders>
          </w:tcPr>
          <w:p>
            <w:pPr>
              <w:pStyle w:val="Compact"/>
              <w:keepLines/>
              <w:jc w:val="left"/>
            </w:pPr>
            <w:r>
              <w:rPr>
                <w:b/>
                <w:sz w:val="17"/>
              </w:rPr>
              <w:t xml:space="preserve">Model</w:t>
            </w:r>
          </w:p>
        </w:tc>
        <w:tc>
          <w:tcPr>
            <w:tcW w:w="1937" w:type="dxa"/>
            <w:tcBorders>
              <w:bottom w:val="single" w:sz="6" w:space="0" w:color="000000"/>
            </w:tcBorders>
          </w:tcPr>
          <w:p>
            <w:pPr>
              <w:pStyle w:val="Compact"/>
              <w:keepLines/>
              <w:jc w:val="left"/>
            </w:pPr>
            <w:r>
              <w:rPr>
                <w:b/>
                <w:sz w:val="17"/>
              </w:rPr>
              <w:t xml:space="preserve">Random 10-fold</w:t>
            </w:r>
          </w:p>
        </w:tc>
        <w:tc>
          <w:tcPr>
            <w:tcW w:w="2201" w:type="dxa"/>
            <w:tcBorders>
              <w:bottom w:val="single" w:sz="6" w:space="0" w:color="000000"/>
            </w:tcBorders>
          </w:tcPr>
          <w:p>
            <w:pPr>
              <w:pStyle w:val="Compact"/>
              <w:keepLines/>
              <w:jc w:val="left"/>
            </w:pPr>
            <w:r>
              <w:rPr>
                <w:b/>
                <w:sz w:val="17"/>
              </w:rPr>
              <w:t xml:space="preserve">Group-held-out (by mix)</w:t>
            </w:r>
          </w:p>
        </w:tc>
        <w:tc>
          <w:tcPr>
            <w:tcW w:w="704" w:type="dxa"/>
            <w:tcBorders>
              <w:bottom w:val="single" w:sz="6" w:space="0" w:color="000000"/>
            </w:tcBorders>
          </w:tcPr>
          <w:p>
            <w:pPr>
              <w:pStyle w:val="Compact"/>
              <w:keepLines/>
              <w:jc w:val="right"/>
            </w:pPr>
            <w:r>
              <w:rPr>
                <w:b/>
                <w:sz w:val="17"/>
              </w:rPr>
              <w:t xml:space="preserve">Gap</w:t>
            </w:r>
          </w:p>
        </w:tc>
        <w:tc>
          <w:tcPr>
            <w:tcW w:w="1849" w:type="dxa"/>
            <w:tcBorders>
              <w:bottom w:val="single" w:sz="6" w:space="0" w:color="000000"/>
            </w:tcBorders>
          </w:tcPr>
          <w:p>
            <w:pPr>
              <w:pStyle w:val="Compact"/>
              <w:keepLines/>
              <w:jc w:val="right"/>
            </w:pPr>
            <w:r>
              <w:rPr>
                <w:b/>
                <w:sz w:val="17"/>
              </w:rPr>
              <w:t xml:space="preserve">Random inner tuning</w:t>
            </w:r>
          </w:p>
        </w:tc>
        <w:tc>
          <w:tcPr>
            <w:tcW w:w="704" w:type="dxa"/>
            <w:tcBorders>
              <w:bottom w:val="single" w:sz="6" w:space="0" w:color="000000"/>
            </w:tcBorders>
          </w:tcPr>
          <w:p>
            <w:pPr>
              <w:pStyle w:val="Compact"/>
              <w:keepLines/>
              <w:jc w:val="right"/>
            </w:pPr>
            <w:r>
              <w:rPr>
                <w:b/>
                <w:sz w:val="17"/>
              </w:rPr>
              <w:t xml:space="preserve">Ratio</w:t>
            </w:r>
          </w:p>
        </w:tc>
      </w:tr>
      <w:tr>
        <w:trPr>
          <w:cantSplit w:val="true"/>
        </w:trPr>
        <w:tc>
          <w:tcPr>
            <w:tcW w:w="1673" w:type="dxa"/>
          </w:tcPr>
          <w:p>
            <w:pPr>
              <w:pStyle w:val="Compact"/>
              <w:keepLines/>
              <w:jc w:val="left"/>
            </w:pPr>
            <w:r>
              <w:rPr>
                <w:sz w:val="17"/>
              </w:rPr>
              <w:t xml:space="preserve">Ridge</w:t>
            </w:r>
          </w:p>
        </w:tc>
        <w:tc>
          <w:tcPr>
            <w:tcW w:w="1937" w:type="dxa"/>
          </w:tcPr>
          <w:p>
            <w:pPr>
              <w:pStyle w:val="Compact"/>
              <w:keepLines/>
              <w:jc w:val="left"/>
            </w:pPr>
            <w:r>
              <w:rPr>
                <w:sz w:val="17"/>
              </w:rPr>
              <w:t xml:space="preserve">10.47 [10.12, 10.85]</w:t>
            </w:r>
          </w:p>
        </w:tc>
        <w:tc>
          <w:tcPr>
            <w:tcW w:w="2201" w:type="dxa"/>
          </w:tcPr>
          <w:p>
            <w:pPr>
              <w:pStyle w:val="Compact"/>
              <w:keepLines/>
              <w:jc w:val="left"/>
            </w:pPr>
            <w:r>
              <w:rPr>
                <w:sz w:val="17"/>
              </w:rPr>
              <w:t xml:space="preserve">10.55 [10.26, 10.82]</w:t>
            </w:r>
          </w:p>
        </w:tc>
        <w:tc>
          <w:tcPr>
            <w:tcW w:w="704" w:type="dxa"/>
          </w:tcPr>
          <w:p>
            <w:pPr>
              <w:pStyle w:val="Compact"/>
              <w:keepLines/>
              <w:jc w:val="right"/>
            </w:pPr>
            <w:r>
              <w:rPr>
                <w:sz w:val="17"/>
              </w:rPr>
              <w:t xml:space="preserve">1.0</w:t>
            </w:r>
          </w:p>
        </w:tc>
        <w:tc>
          <w:tcPr>
            <w:tcW w:w="1849" w:type="dxa"/>
          </w:tcPr>
          <w:p>
            <w:pPr>
              <w:pStyle w:val="Compact"/>
              <w:keepLines/>
              <w:jc w:val="right"/>
            </w:pPr>
            <w:r>
              <w:rPr>
                <w:sz w:val="17"/>
              </w:rPr>
              <w:t xml:space="preserve">10.54</w:t>
            </w:r>
          </w:p>
        </w:tc>
        <w:tc>
          <w:tcPr>
            <w:tcW w:w="704" w:type="dxa"/>
          </w:tcPr>
          <w:p>
            <w:pPr>
              <w:pStyle w:val="Compact"/>
              <w:keepLines/>
              <w:jc w:val="right"/>
            </w:pPr>
            <w:r>
              <w:rPr>
                <w:sz w:val="17"/>
              </w:rPr>
              <w:t xml:space="preserve">1.00</w:t>
            </w:r>
          </w:p>
        </w:tc>
      </w:tr>
      <w:tr>
        <w:trPr>
          <w:cantSplit w:val="true"/>
        </w:trPr>
        <w:tc>
          <w:tcPr>
            <w:tcW w:w="1673" w:type="dxa"/>
          </w:tcPr>
          <w:p>
            <w:pPr>
              <w:pStyle w:val="Compact"/>
              <w:keepLines/>
              <w:jc w:val="left"/>
            </w:pPr>
            <w:r>
              <w:rPr>
                <w:sz w:val="17"/>
              </w:rPr>
              <w:t xml:space="preserve">kNN</w:t>
            </w:r>
          </w:p>
        </w:tc>
        <w:tc>
          <w:tcPr>
            <w:tcW w:w="1937" w:type="dxa"/>
          </w:tcPr>
          <w:p>
            <w:pPr>
              <w:pStyle w:val="Compact"/>
              <w:keepLines/>
              <w:jc w:val="left"/>
            </w:pPr>
            <w:r>
              <w:rPr>
                <w:sz w:val="17"/>
              </w:rPr>
              <w:t xml:space="preserve">8.63 [8.20, 9.07]</w:t>
            </w:r>
          </w:p>
        </w:tc>
        <w:tc>
          <w:tcPr>
            <w:tcW w:w="2201" w:type="dxa"/>
          </w:tcPr>
          <w:p>
            <w:pPr>
              <w:pStyle w:val="Compact"/>
              <w:keepLines/>
              <w:jc w:val="left"/>
            </w:pPr>
            <w:r>
              <w:rPr>
                <w:sz w:val="17"/>
              </w:rPr>
              <w:t xml:space="preserve">8.57 [8.14, 9.07]</w:t>
            </w:r>
          </w:p>
        </w:tc>
        <w:tc>
          <w:tcPr>
            <w:tcW w:w="704" w:type="dxa"/>
          </w:tcPr>
          <w:p>
            <w:pPr>
              <w:pStyle w:val="Compact"/>
              <w:keepLines/>
              <w:jc w:val="right"/>
            </w:pPr>
            <w:r>
              <w:rPr>
                <w:sz w:val="17"/>
              </w:rPr>
              <w:t xml:space="preserve">1.0</w:t>
            </w:r>
          </w:p>
        </w:tc>
        <w:tc>
          <w:tcPr>
            <w:tcW w:w="1849" w:type="dxa"/>
          </w:tcPr>
          <w:p>
            <w:pPr>
              <w:pStyle w:val="Compact"/>
              <w:keepLines/>
              <w:jc w:val="right"/>
            </w:pPr>
            <w:r>
              <w:rPr>
                <w:sz w:val="17"/>
              </w:rPr>
              <w:t xml:space="preserve">see Table 16</w:t>
            </w:r>
          </w:p>
        </w:tc>
        <w:tc>
          <w:tcPr>
            <w:tcW w:w="704" w:type="dxa"/>
          </w:tcPr>
          <w:p>
            <w:pPr>
              <w:pStyle w:val="Compact"/>
              <w:keepLines/>
            </w:pPr>
          </w:p>
        </w:tc>
      </w:tr>
      <w:tr>
        <w:trPr>
          <w:cantSplit w:val="true"/>
        </w:trPr>
        <w:tc>
          <w:tcPr>
            <w:tcW w:w="1673" w:type="dxa"/>
          </w:tcPr>
          <w:p>
            <w:pPr>
              <w:pStyle w:val="Compact"/>
              <w:keepLines/>
              <w:jc w:val="left"/>
            </w:pPr>
            <w:r>
              <w:rPr>
                <w:sz w:val="17"/>
              </w:rPr>
              <w:t xml:space="preserve">SVR (RBF)</w:t>
            </w:r>
          </w:p>
        </w:tc>
        <w:tc>
          <w:tcPr>
            <w:tcW w:w="1937" w:type="dxa"/>
          </w:tcPr>
          <w:p>
            <w:pPr>
              <w:pStyle w:val="Compact"/>
              <w:keepLines/>
              <w:jc w:val="left"/>
            </w:pPr>
            <w:r>
              <w:rPr>
                <w:sz w:val="17"/>
              </w:rPr>
              <w:t xml:space="preserve">6.20 [5.93, 6.47]</w:t>
            </w:r>
          </w:p>
        </w:tc>
        <w:tc>
          <w:tcPr>
            <w:tcW w:w="2201" w:type="dxa"/>
          </w:tcPr>
          <w:p>
            <w:pPr>
              <w:pStyle w:val="Compact"/>
              <w:keepLines/>
              <w:jc w:val="left"/>
            </w:pPr>
            <w:r>
              <w:rPr>
                <w:sz w:val="17"/>
              </w:rPr>
              <w:t xml:space="preserve">6.46 [6.16, 6.72]</w:t>
            </w:r>
          </w:p>
        </w:tc>
        <w:tc>
          <w:tcPr>
            <w:tcW w:w="704" w:type="dxa"/>
          </w:tcPr>
          <w:p>
            <w:pPr>
              <w:pStyle w:val="Compact"/>
              <w:keepLines/>
              <w:jc w:val="right"/>
            </w:pPr>
            <w:r>
              <w:rPr>
                <w:sz w:val="17"/>
              </w:rPr>
              <w:t xml:space="preserve">1.0</w:t>
            </w:r>
          </w:p>
        </w:tc>
        <w:tc>
          <w:tcPr>
            <w:tcW w:w="1849" w:type="dxa"/>
          </w:tcPr>
          <w:p>
            <w:pPr>
              <w:pStyle w:val="Compact"/>
              <w:keepLines/>
              <w:jc w:val="right"/>
            </w:pPr>
            <w:r>
              <w:rPr>
                <w:sz w:val="17"/>
              </w:rPr>
              <w:t xml:space="preserve">6.46</w:t>
            </w:r>
          </w:p>
        </w:tc>
        <w:tc>
          <w:tcPr>
            <w:tcW w:w="704" w:type="dxa"/>
          </w:tcPr>
          <w:p>
            <w:pPr>
              <w:pStyle w:val="Compact"/>
              <w:keepLines/>
              <w:jc w:val="right"/>
            </w:pPr>
            <w:r>
              <w:rPr>
                <w:sz w:val="17"/>
              </w:rPr>
              <w:t xml:space="preserve">1.00</w:t>
            </w:r>
          </w:p>
        </w:tc>
      </w:tr>
      <w:tr>
        <w:trPr>
          <w:cantSplit w:val="true"/>
        </w:trPr>
        <w:tc>
          <w:tcPr>
            <w:tcW w:w="1673" w:type="dxa"/>
          </w:tcPr>
          <w:p>
            <w:pPr>
              <w:pStyle w:val="Compact"/>
              <w:keepLines/>
              <w:jc w:val="left"/>
            </w:pPr>
            <w:r>
              <w:rPr>
                <w:sz w:val="17"/>
              </w:rPr>
              <w:t xml:space="preserve">Random forest</w:t>
            </w:r>
          </w:p>
        </w:tc>
        <w:tc>
          <w:tcPr>
            <w:tcW w:w="1937" w:type="dxa"/>
          </w:tcPr>
          <w:p>
            <w:pPr>
              <w:pStyle w:val="Compact"/>
              <w:keepLines/>
              <w:jc w:val="left"/>
            </w:pPr>
            <w:r>
              <w:rPr>
                <w:sz w:val="17"/>
              </w:rPr>
              <w:t xml:space="preserve">4.80 [4.54, 5.04]</w:t>
            </w:r>
          </w:p>
        </w:tc>
        <w:tc>
          <w:tcPr>
            <w:tcW w:w="2201" w:type="dxa"/>
          </w:tcPr>
          <w:p>
            <w:pPr>
              <w:pStyle w:val="Compact"/>
              <w:keepLines/>
              <w:jc w:val="left"/>
            </w:pPr>
            <w:r>
              <w:rPr>
                <w:sz w:val="17"/>
              </w:rPr>
              <w:t xml:space="preserve">5.91 [5.56, 6.27]</w:t>
            </w:r>
          </w:p>
        </w:tc>
        <w:tc>
          <w:tcPr>
            <w:tcW w:w="704" w:type="dxa"/>
          </w:tcPr>
          <w:p>
            <w:pPr>
              <w:pStyle w:val="Compact"/>
              <w:keepLines/>
              <w:jc w:val="right"/>
            </w:pPr>
            <w:r>
              <w:rPr>
                <w:sz w:val="17"/>
              </w:rPr>
              <w:t xml:space="preserve">1.2</w:t>
            </w:r>
          </w:p>
        </w:tc>
        <w:tc>
          <w:tcPr>
            <w:tcW w:w="1849" w:type="dxa"/>
          </w:tcPr>
          <w:p>
            <w:pPr>
              <w:pStyle w:val="Compact"/>
              <w:keepLines/>
              <w:jc w:val="right"/>
            </w:pPr>
            <w:r>
              <w:rPr>
                <w:sz w:val="17"/>
              </w:rPr>
              <w:t xml:space="preserve">see Table 16</w:t>
            </w:r>
          </w:p>
        </w:tc>
        <w:tc>
          <w:tcPr>
            <w:tcW w:w="704" w:type="dxa"/>
          </w:tcPr>
          <w:p>
            <w:pPr>
              <w:pStyle w:val="Compact"/>
              <w:keepLines/>
            </w:pPr>
          </w:p>
        </w:tc>
      </w:tr>
      <w:tr>
        <w:trPr>
          <w:cantSplit w:val="true"/>
        </w:trPr>
        <w:tc>
          <w:tcPr>
            <w:tcW w:w="1673" w:type="dxa"/>
          </w:tcPr>
          <w:p>
            <w:pPr>
              <w:pStyle w:val="Compact"/>
              <w:keepLines/>
              <w:jc w:val="left"/>
            </w:pPr>
            <w:r>
              <w:rPr>
                <w:sz w:val="17"/>
              </w:rPr>
              <w:t xml:space="preserve">Gradient boosting</w:t>
            </w:r>
          </w:p>
        </w:tc>
        <w:tc>
          <w:tcPr>
            <w:tcW w:w="1937" w:type="dxa"/>
          </w:tcPr>
          <w:p>
            <w:pPr>
              <w:pStyle w:val="Compact"/>
              <w:keepLines/>
              <w:jc w:val="left"/>
            </w:pPr>
            <w:r>
              <w:rPr>
                <w:sz w:val="17"/>
              </w:rPr>
              <w:t xml:space="preserve">4.64 [4.32, 4.99]</w:t>
            </w:r>
          </w:p>
        </w:tc>
        <w:tc>
          <w:tcPr>
            <w:tcW w:w="2201" w:type="dxa"/>
          </w:tcPr>
          <w:p>
            <w:pPr>
              <w:pStyle w:val="Compact"/>
              <w:keepLines/>
              <w:jc w:val="left"/>
            </w:pPr>
            <w:r>
              <w:rPr>
                <w:sz w:val="17"/>
              </w:rPr>
              <w:t xml:space="preserve">5.76 [5.43, 6.14]</w:t>
            </w:r>
          </w:p>
        </w:tc>
        <w:tc>
          <w:tcPr>
            <w:tcW w:w="704" w:type="dxa"/>
          </w:tcPr>
          <w:p>
            <w:pPr>
              <w:pStyle w:val="Compact"/>
              <w:keepLines/>
              <w:jc w:val="right"/>
            </w:pPr>
            <w:r>
              <w:rPr>
                <w:sz w:val="17"/>
              </w:rPr>
              <w:t xml:space="preserve">1.2</w:t>
            </w:r>
          </w:p>
        </w:tc>
        <w:tc>
          <w:tcPr>
            <w:tcW w:w="1849" w:type="dxa"/>
          </w:tcPr>
          <w:p>
            <w:pPr>
              <w:pStyle w:val="Compact"/>
              <w:keepLines/>
              <w:jc w:val="right"/>
            </w:pPr>
            <w:r>
              <w:rPr>
                <w:sz w:val="17"/>
              </w:rPr>
              <w:t xml:space="preserve">5.76</w:t>
            </w:r>
          </w:p>
        </w:tc>
        <w:tc>
          <w:tcPr>
            <w:tcW w:w="704" w:type="dxa"/>
          </w:tcPr>
          <w:p>
            <w:pPr>
              <w:pStyle w:val="Compact"/>
              <w:keepLines/>
              <w:jc w:val="right"/>
            </w:pPr>
            <w:r>
              <w:rPr>
                <w:sz w:val="17"/>
              </w:rPr>
              <w:t xml:space="preserve">1.00</w:t>
            </w:r>
          </w:p>
        </w:tc>
      </w:tr>
    </w:tbl>
    <w:bookmarkEnd w:id="54"/>
    <w:bookmarkStart w:id="58" w:name="parkinsons-telemonitoring-1"/>
    <w:p>
      <w:pPr>
        <w:pStyle w:val="Heading3"/>
      </w:pPr>
      <w:r>
        <w:rPr>
          <w:rStyle w:val="SectionNumber"/>
        </w:rPr>
        <w:t xml:space="preserve">6.1.4</w:t>
      </w:r>
      <w:r>
        <w:tab/>
      </w:r>
      <w:r>
        <w:t xml:space="preserve">Parkinson’s telemonitoring</w:t>
      </w:r>
    </w:p>
    <w:p>
      <w:pPr>
        <w:pStyle w:val="FirstParagraph"/>
      </w:pPr>
      <w:r>
        <w:t xml:space="preserve">Tables 10 and 11 give the corresponding results for Parkinson’s data. Under random 10-fold cross-validation a random forest reaches RMSE 1.68 on total UPDRS, against a target standard deviation of 10.7, and 1.31 on motor UPDRS (SD 8.1), which would suggest nearly exact prediction. On held-out patients the same models reach 12.73 and 9.24, increases by factors of 7.6 and 7.1. Gradient boosting loses a factor of about 3, kNN and SVR about 2 and ridge regression 1.2. Fig. 4 summarises the inflation ratios across all five dataset–target combinations: the ratio rises with model flexibility in every dataset, and it is largest where groups are large and tight.</w:t>
      </w:r>
    </w:p>
    <w:p>
      <w:pPr>
        <w:pStyle w:val="TableCaption"/>
      </w:pPr>
      <w:r>
        <w:t xml:space="preserve">Table 10. Parkinson’s telemonitoring, total UPDRS: pooled RMSE (UPDRS points), mean and 95% bootstrap interval over folds, 10 folds. The training-mean predictor has RMSE 10.70 under random and 10.89 under patient-held-out folds.</w:t>
      </w:r>
    </w:p>
    <w:tbl>
      <w:tblPr>
        <w:tblStyle w:val="Table"/>
        <w:tblW w:w="9071" w:type="dxa"/>
        <w:tblBorders>
          <w:top w:val="single" w:sz="12" w:space="0" w:color="000000"/>
          <w:left w:val="nil"/>
          <w:bottom w:val="single" w:sz="12"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Caption w:val="Table 10. Parkinson’s telemonitoring, total UPDRS: pooled RMSE (UPDRS points), mean and 95% bootstrap interval over folds, 10 folds. The training-mean predictor has RMSE 10.70 under random and 10.89 under patient-held-out folds."/>
      </w:tblPr>
      <w:tblGrid>
        <w:gridCol w:w="1776"/>
        <w:gridCol w:w="1776"/>
        <w:gridCol w:w="2057"/>
        <w:gridCol w:w="748"/>
        <w:gridCol w:w="1963"/>
        <w:gridCol w:w="748"/>
      </w:tblGrid>
      <w:tr>
        <w:trPr>
          <w:cantSplit w:val="true"/>
          <w:tblHeader w:val="on"/>
          <w:tblHeader w:val="true"/>
        </w:trPr>
        <w:tc>
          <w:tcPr>
            <w:tcW w:w="1776" w:type="dxa"/>
            <w:tcBorders>
              <w:bottom w:val="single" w:sz="6" w:space="0" w:color="000000"/>
            </w:tcBorders>
          </w:tcPr>
          <w:p>
            <w:pPr>
              <w:pStyle w:val="Compact"/>
              <w:keepLines/>
              <w:jc w:val="left"/>
            </w:pPr>
            <w:r>
              <w:rPr>
                <w:b/>
                <w:sz w:val="17"/>
              </w:rPr>
              <w:t xml:space="preserve">Model</w:t>
            </w:r>
          </w:p>
        </w:tc>
        <w:tc>
          <w:tcPr>
            <w:tcW w:w="1776" w:type="dxa"/>
            <w:tcBorders>
              <w:bottom w:val="single" w:sz="6" w:space="0" w:color="000000"/>
            </w:tcBorders>
          </w:tcPr>
          <w:p>
            <w:pPr>
              <w:pStyle w:val="Compact"/>
              <w:keepLines/>
              <w:jc w:val="left"/>
            </w:pPr>
            <w:r>
              <w:rPr>
                <w:b/>
                <w:sz w:val="17"/>
              </w:rPr>
              <w:t xml:space="preserve">Random 10-fold</w:t>
            </w:r>
          </w:p>
        </w:tc>
        <w:tc>
          <w:tcPr>
            <w:tcW w:w="2057" w:type="dxa"/>
            <w:tcBorders>
              <w:bottom w:val="single" w:sz="6" w:space="0" w:color="000000"/>
            </w:tcBorders>
          </w:tcPr>
          <w:p>
            <w:pPr>
              <w:pStyle w:val="Compact"/>
              <w:keepLines/>
              <w:jc w:val="left"/>
            </w:pPr>
            <w:r>
              <w:rPr>
                <w:b/>
                <w:sz w:val="17"/>
              </w:rPr>
              <w:t xml:space="preserve">Held-out patients</w:t>
            </w:r>
          </w:p>
        </w:tc>
        <w:tc>
          <w:tcPr>
            <w:tcW w:w="748" w:type="dxa"/>
            <w:tcBorders>
              <w:bottom w:val="single" w:sz="6" w:space="0" w:color="000000"/>
            </w:tcBorders>
          </w:tcPr>
          <w:p>
            <w:pPr>
              <w:pStyle w:val="Compact"/>
              <w:keepLines/>
              <w:jc w:val="right"/>
            </w:pPr>
            <w:r>
              <w:rPr>
                <w:b/>
                <w:sz w:val="17"/>
              </w:rPr>
              <w:t xml:space="preserve">Gap</w:t>
            </w:r>
          </w:p>
        </w:tc>
        <w:tc>
          <w:tcPr>
            <w:tcW w:w="1963" w:type="dxa"/>
            <w:tcBorders>
              <w:bottom w:val="single" w:sz="6" w:space="0" w:color="000000"/>
            </w:tcBorders>
          </w:tcPr>
          <w:p>
            <w:pPr>
              <w:pStyle w:val="Compact"/>
              <w:keepLines/>
              <w:jc w:val="right"/>
            </w:pPr>
            <w:r>
              <w:rPr>
                <w:b/>
                <w:sz w:val="17"/>
              </w:rPr>
              <w:t xml:space="preserve">Random inner tuning</w:t>
            </w:r>
          </w:p>
        </w:tc>
        <w:tc>
          <w:tcPr>
            <w:tcW w:w="748" w:type="dxa"/>
            <w:tcBorders>
              <w:bottom w:val="single" w:sz="6" w:space="0" w:color="000000"/>
            </w:tcBorders>
          </w:tcPr>
          <w:p>
            <w:pPr>
              <w:pStyle w:val="Compact"/>
              <w:keepLines/>
              <w:jc w:val="right"/>
            </w:pPr>
            <w:r>
              <w:rPr>
                <w:b/>
                <w:sz w:val="17"/>
              </w:rPr>
              <w:t xml:space="preserve">Ratio</w:t>
            </w:r>
          </w:p>
        </w:tc>
      </w:tr>
      <w:tr>
        <w:trPr>
          <w:cantSplit w:val="true"/>
        </w:trPr>
        <w:tc>
          <w:tcPr>
            <w:tcW w:w="1776" w:type="dxa"/>
          </w:tcPr>
          <w:p>
            <w:pPr>
              <w:pStyle w:val="Compact"/>
              <w:keepLines/>
              <w:jc w:val="left"/>
            </w:pPr>
            <w:r>
              <w:rPr>
                <w:sz w:val="17"/>
              </w:rPr>
              <w:t xml:space="preserve">Ridge</w:t>
            </w:r>
          </w:p>
        </w:tc>
        <w:tc>
          <w:tcPr>
            <w:tcW w:w="1776" w:type="dxa"/>
          </w:tcPr>
          <w:p>
            <w:pPr>
              <w:pStyle w:val="Compact"/>
              <w:keepLines/>
              <w:jc w:val="left"/>
            </w:pPr>
            <w:r>
              <w:rPr>
                <w:sz w:val="17"/>
              </w:rPr>
              <w:t xml:space="preserve">9.74 [9.55, 9.96]</w:t>
            </w:r>
          </w:p>
        </w:tc>
        <w:tc>
          <w:tcPr>
            <w:tcW w:w="2057" w:type="dxa"/>
          </w:tcPr>
          <w:p>
            <w:pPr>
              <w:pStyle w:val="Compact"/>
              <w:keepLines/>
              <w:jc w:val="left"/>
            </w:pPr>
            <w:r>
              <w:rPr>
                <w:sz w:val="17"/>
              </w:rPr>
              <w:t xml:space="preserve">11.55 [9.46, 13.69]</w:t>
            </w:r>
          </w:p>
        </w:tc>
        <w:tc>
          <w:tcPr>
            <w:tcW w:w="748" w:type="dxa"/>
          </w:tcPr>
          <w:p>
            <w:pPr>
              <w:pStyle w:val="Compact"/>
              <w:keepLines/>
              <w:jc w:val="right"/>
            </w:pPr>
            <w:r>
              <w:rPr>
                <w:sz w:val="17"/>
              </w:rPr>
              <w:t xml:space="preserve">1.2</w:t>
            </w:r>
          </w:p>
        </w:tc>
        <w:tc>
          <w:tcPr>
            <w:tcW w:w="1963" w:type="dxa"/>
          </w:tcPr>
          <w:p>
            <w:pPr>
              <w:pStyle w:val="Compact"/>
              <w:keepLines/>
              <w:jc w:val="right"/>
            </w:pPr>
            <w:r>
              <w:rPr>
                <w:sz w:val="17"/>
              </w:rPr>
              <w:t xml:space="preserve">11.67</w:t>
            </w:r>
          </w:p>
        </w:tc>
        <w:tc>
          <w:tcPr>
            <w:tcW w:w="748" w:type="dxa"/>
          </w:tcPr>
          <w:p>
            <w:pPr>
              <w:pStyle w:val="Compact"/>
              <w:keepLines/>
              <w:jc w:val="right"/>
            </w:pPr>
            <w:r>
              <w:rPr>
                <w:sz w:val="17"/>
              </w:rPr>
              <w:t xml:space="preserve">1.01</w:t>
            </w:r>
          </w:p>
        </w:tc>
      </w:tr>
      <w:tr>
        <w:trPr>
          <w:cantSplit w:val="true"/>
        </w:trPr>
        <w:tc>
          <w:tcPr>
            <w:tcW w:w="1776" w:type="dxa"/>
          </w:tcPr>
          <w:p>
            <w:pPr>
              <w:pStyle w:val="Compact"/>
              <w:keepLines/>
              <w:jc w:val="left"/>
            </w:pPr>
            <w:r>
              <w:rPr>
                <w:sz w:val="17"/>
              </w:rPr>
              <w:t xml:space="preserve">kNN</w:t>
            </w:r>
          </w:p>
        </w:tc>
        <w:tc>
          <w:tcPr>
            <w:tcW w:w="1776" w:type="dxa"/>
          </w:tcPr>
          <w:p>
            <w:pPr>
              <w:pStyle w:val="Compact"/>
              <w:keepLines/>
              <w:jc w:val="left"/>
            </w:pPr>
            <w:r>
              <w:rPr>
                <w:sz w:val="17"/>
              </w:rPr>
              <w:t xml:space="preserve">6.30 [6.12, 6.51]</w:t>
            </w:r>
          </w:p>
        </w:tc>
        <w:tc>
          <w:tcPr>
            <w:tcW w:w="2057" w:type="dxa"/>
          </w:tcPr>
          <w:p>
            <w:pPr>
              <w:pStyle w:val="Compact"/>
              <w:keepLines/>
              <w:jc w:val="left"/>
            </w:pPr>
            <w:r>
              <w:rPr>
                <w:sz w:val="17"/>
              </w:rPr>
              <w:t xml:space="preserve">12.94 [10.53, 15.18]</w:t>
            </w:r>
          </w:p>
        </w:tc>
        <w:tc>
          <w:tcPr>
            <w:tcW w:w="748" w:type="dxa"/>
          </w:tcPr>
          <w:p>
            <w:pPr>
              <w:pStyle w:val="Compact"/>
              <w:keepLines/>
              <w:jc w:val="right"/>
            </w:pPr>
            <w:r>
              <w:rPr>
                <w:sz w:val="17"/>
              </w:rPr>
              <w:t xml:space="preserve">2.1</w:t>
            </w:r>
          </w:p>
        </w:tc>
        <w:tc>
          <w:tcPr>
            <w:tcW w:w="1963" w:type="dxa"/>
          </w:tcPr>
          <w:p>
            <w:pPr>
              <w:pStyle w:val="Compact"/>
              <w:keepLines/>
              <w:jc w:val="right"/>
            </w:pPr>
            <w:r>
              <w:rPr>
                <w:sz w:val="17"/>
              </w:rPr>
              <w:t xml:space="preserve">see Table 16</w:t>
            </w:r>
          </w:p>
        </w:tc>
        <w:tc>
          <w:tcPr>
            <w:tcW w:w="748" w:type="dxa"/>
          </w:tcPr>
          <w:p>
            <w:pPr>
              <w:pStyle w:val="Compact"/>
              <w:keepLines/>
            </w:pPr>
          </w:p>
        </w:tc>
      </w:tr>
      <w:tr>
        <w:trPr>
          <w:cantSplit w:val="true"/>
        </w:trPr>
        <w:tc>
          <w:tcPr>
            <w:tcW w:w="1776" w:type="dxa"/>
          </w:tcPr>
          <w:p>
            <w:pPr>
              <w:pStyle w:val="Compact"/>
              <w:keepLines/>
              <w:jc w:val="left"/>
            </w:pPr>
            <w:r>
              <w:rPr>
                <w:sz w:val="17"/>
              </w:rPr>
              <w:t xml:space="preserve">SVR (RBF)</w:t>
            </w:r>
          </w:p>
        </w:tc>
        <w:tc>
          <w:tcPr>
            <w:tcW w:w="1776" w:type="dxa"/>
          </w:tcPr>
          <w:p>
            <w:pPr>
              <w:pStyle w:val="Compact"/>
              <w:keepLines/>
              <w:jc w:val="left"/>
            </w:pPr>
            <w:r>
              <w:rPr>
                <w:sz w:val="17"/>
              </w:rPr>
              <w:t xml:space="preserve">7.26 [7.15, 7.39]</w:t>
            </w:r>
          </w:p>
        </w:tc>
        <w:tc>
          <w:tcPr>
            <w:tcW w:w="2057" w:type="dxa"/>
          </w:tcPr>
          <w:p>
            <w:pPr>
              <w:pStyle w:val="Compact"/>
              <w:keepLines/>
              <w:jc w:val="left"/>
            </w:pPr>
            <w:r>
              <w:rPr>
                <w:sz w:val="17"/>
              </w:rPr>
              <w:t xml:space="preserve">13.34 [10.76, 15.53]</w:t>
            </w:r>
          </w:p>
        </w:tc>
        <w:tc>
          <w:tcPr>
            <w:tcW w:w="748" w:type="dxa"/>
          </w:tcPr>
          <w:p>
            <w:pPr>
              <w:pStyle w:val="Compact"/>
              <w:keepLines/>
              <w:jc w:val="right"/>
            </w:pPr>
            <w:r>
              <w:rPr>
                <w:sz w:val="17"/>
              </w:rPr>
              <w:t xml:space="preserve">1.8</w:t>
            </w:r>
          </w:p>
        </w:tc>
        <w:tc>
          <w:tcPr>
            <w:tcW w:w="1963" w:type="dxa"/>
          </w:tcPr>
          <w:p>
            <w:pPr>
              <w:pStyle w:val="Compact"/>
              <w:keepLines/>
              <w:jc w:val="right"/>
            </w:pPr>
            <w:r>
              <w:rPr>
                <w:sz w:val="17"/>
              </w:rPr>
              <w:t xml:space="preserve">13.74</w:t>
            </w:r>
          </w:p>
        </w:tc>
        <w:tc>
          <w:tcPr>
            <w:tcW w:w="748" w:type="dxa"/>
          </w:tcPr>
          <w:p>
            <w:pPr>
              <w:pStyle w:val="Compact"/>
              <w:keepLines/>
              <w:jc w:val="right"/>
            </w:pPr>
            <w:r>
              <w:rPr>
                <w:sz w:val="17"/>
              </w:rPr>
              <w:t xml:space="preserve">1.03</w:t>
            </w:r>
          </w:p>
        </w:tc>
      </w:tr>
      <w:tr>
        <w:trPr>
          <w:cantSplit w:val="true"/>
        </w:trPr>
        <w:tc>
          <w:tcPr>
            <w:tcW w:w="1776" w:type="dxa"/>
          </w:tcPr>
          <w:p>
            <w:pPr>
              <w:pStyle w:val="Compact"/>
              <w:keepLines/>
              <w:jc w:val="left"/>
            </w:pPr>
            <w:r>
              <w:rPr>
                <w:sz w:val="17"/>
              </w:rPr>
              <w:t xml:space="preserve">Random forest</w:t>
            </w:r>
          </w:p>
        </w:tc>
        <w:tc>
          <w:tcPr>
            <w:tcW w:w="1776" w:type="dxa"/>
          </w:tcPr>
          <w:p>
            <w:pPr>
              <w:pStyle w:val="Compact"/>
              <w:keepLines/>
              <w:jc w:val="left"/>
            </w:pPr>
            <w:r>
              <w:rPr>
                <w:b/>
                <w:bCs/>
                <w:sz w:val="17"/>
              </w:rPr>
              <w:t xml:space="preserve">1.68</w:t>
            </w:r>
            <w:r>
              <w:rPr>
                <w:sz w:val="17"/>
              </w:rPr>
              <w:t xml:space="preserve"> </w:t>
            </w:r>
            <w:r>
              <w:rPr>
                <w:sz w:val="17"/>
              </w:rPr>
              <w:t xml:space="preserve">[1.52, 1.83]</w:t>
            </w:r>
          </w:p>
        </w:tc>
        <w:tc>
          <w:tcPr>
            <w:tcW w:w="2057" w:type="dxa"/>
          </w:tcPr>
          <w:p>
            <w:pPr>
              <w:pStyle w:val="Compact"/>
              <w:keepLines/>
              <w:jc w:val="left"/>
            </w:pPr>
            <w:r>
              <w:rPr>
                <w:sz w:val="17"/>
              </w:rPr>
              <w:t xml:space="preserve">12.73 [10.82, 14.29]</w:t>
            </w:r>
          </w:p>
        </w:tc>
        <w:tc>
          <w:tcPr>
            <w:tcW w:w="748" w:type="dxa"/>
          </w:tcPr>
          <w:p>
            <w:pPr>
              <w:pStyle w:val="Compact"/>
              <w:keepLines/>
              <w:jc w:val="right"/>
            </w:pPr>
            <w:r>
              <w:rPr>
                <w:sz w:val="17"/>
              </w:rPr>
              <w:t xml:space="preserve">7.6</w:t>
            </w:r>
          </w:p>
        </w:tc>
        <w:tc>
          <w:tcPr>
            <w:tcW w:w="1963" w:type="dxa"/>
          </w:tcPr>
          <w:p>
            <w:pPr>
              <w:pStyle w:val="Compact"/>
              <w:keepLines/>
              <w:jc w:val="right"/>
            </w:pPr>
            <w:r>
              <w:rPr>
                <w:sz w:val="17"/>
              </w:rPr>
              <w:t xml:space="preserve">see Table 16</w:t>
            </w:r>
          </w:p>
        </w:tc>
        <w:tc>
          <w:tcPr>
            <w:tcW w:w="748" w:type="dxa"/>
          </w:tcPr>
          <w:p>
            <w:pPr>
              <w:pStyle w:val="Compact"/>
              <w:keepLines/>
            </w:pPr>
          </w:p>
        </w:tc>
      </w:tr>
      <w:tr>
        <w:trPr>
          <w:cantSplit w:val="true"/>
        </w:trPr>
        <w:tc>
          <w:tcPr>
            <w:tcW w:w="1776" w:type="dxa"/>
          </w:tcPr>
          <w:p>
            <w:pPr>
              <w:pStyle w:val="Compact"/>
              <w:keepLines/>
              <w:jc w:val="left"/>
            </w:pPr>
            <w:r>
              <w:rPr>
                <w:sz w:val="17"/>
              </w:rPr>
              <w:t xml:space="preserve">Gradient boosting</w:t>
            </w:r>
          </w:p>
        </w:tc>
        <w:tc>
          <w:tcPr>
            <w:tcW w:w="1776" w:type="dxa"/>
          </w:tcPr>
          <w:p>
            <w:pPr>
              <w:pStyle w:val="Compact"/>
              <w:keepLines/>
              <w:jc w:val="left"/>
            </w:pPr>
            <w:r>
              <w:rPr>
                <w:sz w:val="17"/>
              </w:rPr>
              <w:t xml:space="preserve">3.92 [3.83, 3.99]</w:t>
            </w:r>
          </w:p>
        </w:tc>
        <w:tc>
          <w:tcPr>
            <w:tcW w:w="2057" w:type="dxa"/>
          </w:tcPr>
          <w:p>
            <w:pPr>
              <w:pStyle w:val="Compact"/>
              <w:keepLines/>
              <w:jc w:val="left"/>
            </w:pPr>
            <w:r>
              <w:rPr>
                <w:sz w:val="17"/>
              </w:rPr>
              <w:t xml:space="preserve">12.32 [10.45, 13.97]</w:t>
            </w:r>
          </w:p>
        </w:tc>
        <w:tc>
          <w:tcPr>
            <w:tcW w:w="748" w:type="dxa"/>
          </w:tcPr>
          <w:p>
            <w:pPr>
              <w:pStyle w:val="Compact"/>
              <w:keepLines/>
              <w:jc w:val="right"/>
            </w:pPr>
            <w:r>
              <w:rPr>
                <w:sz w:val="17"/>
              </w:rPr>
              <w:t xml:space="preserve">3.1</w:t>
            </w:r>
          </w:p>
        </w:tc>
        <w:tc>
          <w:tcPr>
            <w:tcW w:w="1963" w:type="dxa"/>
          </w:tcPr>
          <w:p>
            <w:pPr>
              <w:pStyle w:val="Compact"/>
              <w:keepLines/>
              <w:jc w:val="right"/>
            </w:pPr>
            <w:r>
              <w:rPr>
                <w:sz w:val="17"/>
              </w:rPr>
              <w:t xml:space="preserve">13.81</w:t>
            </w:r>
          </w:p>
        </w:tc>
        <w:tc>
          <w:tcPr>
            <w:tcW w:w="748" w:type="dxa"/>
          </w:tcPr>
          <w:p>
            <w:pPr>
              <w:pStyle w:val="Compact"/>
              <w:keepLines/>
              <w:jc w:val="right"/>
            </w:pPr>
            <w:r>
              <w:rPr>
                <w:sz w:val="17"/>
              </w:rPr>
              <w:t xml:space="preserve">1.12</w:t>
            </w:r>
          </w:p>
        </w:tc>
      </w:tr>
    </w:tbl>
    <w:p/>
    <w:p>
      <w:pPr>
        <w:pStyle w:val="TableCaption"/>
      </w:pPr>
      <w:r>
        <w:t xml:space="preserve">Table 11. Parkinson’s telemonitoring, motor UPDRS, same layout as Table 10. The training-mean predictor has RMSE 8.13 under random and 8.25 under patient-held-out folds.</w:t>
      </w:r>
    </w:p>
    <w:tbl>
      <w:tblPr>
        <w:tblStyle w:val="Table"/>
        <w:tblW w:w="9071" w:type="dxa"/>
        <w:tblBorders>
          <w:top w:val="single" w:sz="12" w:space="0" w:color="000000"/>
          <w:left w:val="nil"/>
          <w:bottom w:val="single" w:sz="12"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Caption w:val="Table 11. Parkinson’s telemonitoring, motor UPDRS, same layout as Table 10. The training-mean predictor has RMSE 8.13 under random and 8.25 under patient-held-out folds."/>
      </w:tblPr>
      <w:tblGrid>
        <w:gridCol w:w="1795"/>
        <w:gridCol w:w="1795"/>
        <w:gridCol w:w="1984"/>
        <w:gridCol w:w="755"/>
        <w:gridCol w:w="1984"/>
        <w:gridCol w:w="755"/>
      </w:tblGrid>
      <w:tr>
        <w:trPr>
          <w:cantSplit w:val="true"/>
          <w:tblHeader w:val="on"/>
          <w:tblHeader w:val="true"/>
        </w:trPr>
        <w:tc>
          <w:tcPr>
            <w:tcW w:w="1795" w:type="dxa"/>
            <w:tcBorders>
              <w:bottom w:val="single" w:sz="6" w:space="0" w:color="000000"/>
            </w:tcBorders>
          </w:tcPr>
          <w:p>
            <w:pPr>
              <w:pStyle w:val="Compact"/>
              <w:keepLines/>
              <w:jc w:val="left"/>
            </w:pPr>
            <w:r>
              <w:rPr>
                <w:b/>
                <w:sz w:val="17"/>
              </w:rPr>
              <w:t xml:space="preserve">Model</w:t>
            </w:r>
          </w:p>
        </w:tc>
        <w:tc>
          <w:tcPr>
            <w:tcW w:w="1795" w:type="dxa"/>
            <w:tcBorders>
              <w:bottom w:val="single" w:sz="6" w:space="0" w:color="000000"/>
            </w:tcBorders>
          </w:tcPr>
          <w:p>
            <w:pPr>
              <w:pStyle w:val="Compact"/>
              <w:keepLines/>
              <w:jc w:val="left"/>
            </w:pPr>
            <w:r>
              <w:rPr>
                <w:b/>
                <w:sz w:val="17"/>
              </w:rPr>
              <w:t xml:space="preserve">Random 10-fold</w:t>
            </w:r>
          </w:p>
        </w:tc>
        <w:tc>
          <w:tcPr>
            <w:tcW w:w="1984" w:type="dxa"/>
            <w:tcBorders>
              <w:bottom w:val="single" w:sz="6" w:space="0" w:color="000000"/>
            </w:tcBorders>
          </w:tcPr>
          <w:p>
            <w:pPr>
              <w:pStyle w:val="Compact"/>
              <w:keepLines/>
              <w:jc w:val="left"/>
            </w:pPr>
            <w:r>
              <w:rPr>
                <w:b/>
                <w:sz w:val="17"/>
              </w:rPr>
              <w:t xml:space="preserve">Held-out patients</w:t>
            </w:r>
          </w:p>
        </w:tc>
        <w:tc>
          <w:tcPr>
            <w:tcW w:w="755" w:type="dxa"/>
            <w:tcBorders>
              <w:bottom w:val="single" w:sz="6" w:space="0" w:color="000000"/>
            </w:tcBorders>
          </w:tcPr>
          <w:p>
            <w:pPr>
              <w:pStyle w:val="Compact"/>
              <w:keepLines/>
              <w:jc w:val="right"/>
            </w:pPr>
            <w:r>
              <w:rPr>
                <w:b/>
                <w:sz w:val="17"/>
              </w:rPr>
              <w:t xml:space="preserve">Gap</w:t>
            </w:r>
          </w:p>
        </w:tc>
        <w:tc>
          <w:tcPr>
            <w:tcW w:w="1984" w:type="dxa"/>
            <w:tcBorders>
              <w:bottom w:val="single" w:sz="6" w:space="0" w:color="000000"/>
            </w:tcBorders>
          </w:tcPr>
          <w:p>
            <w:pPr>
              <w:pStyle w:val="Compact"/>
              <w:keepLines/>
              <w:jc w:val="right"/>
            </w:pPr>
            <w:r>
              <w:rPr>
                <w:b/>
                <w:sz w:val="17"/>
              </w:rPr>
              <w:t xml:space="preserve">Random inner tuning</w:t>
            </w:r>
          </w:p>
        </w:tc>
        <w:tc>
          <w:tcPr>
            <w:tcW w:w="755" w:type="dxa"/>
            <w:tcBorders>
              <w:bottom w:val="single" w:sz="6" w:space="0" w:color="000000"/>
            </w:tcBorders>
          </w:tcPr>
          <w:p>
            <w:pPr>
              <w:pStyle w:val="Compact"/>
              <w:keepLines/>
              <w:jc w:val="right"/>
            </w:pPr>
            <w:r>
              <w:rPr>
                <w:b/>
                <w:sz w:val="17"/>
              </w:rPr>
              <w:t xml:space="preserve">Ratio</w:t>
            </w:r>
          </w:p>
        </w:tc>
      </w:tr>
      <w:tr>
        <w:trPr>
          <w:cantSplit w:val="true"/>
        </w:trPr>
        <w:tc>
          <w:tcPr>
            <w:tcW w:w="1795" w:type="dxa"/>
          </w:tcPr>
          <w:p>
            <w:pPr>
              <w:pStyle w:val="Compact"/>
              <w:keepLines/>
              <w:jc w:val="left"/>
            </w:pPr>
            <w:r>
              <w:rPr>
                <w:sz w:val="17"/>
              </w:rPr>
              <w:t xml:space="preserve">Ridge</w:t>
            </w:r>
          </w:p>
        </w:tc>
        <w:tc>
          <w:tcPr>
            <w:tcW w:w="1795" w:type="dxa"/>
          </w:tcPr>
          <w:p>
            <w:pPr>
              <w:pStyle w:val="Compact"/>
              <w:keepLines/>
              <w:jc w:val="left"/>
            </w:pPr>
            <w:r>
              <w:rPr>
                <w:sz w:val="17"/>
              </w:rPr>
              <w:t xml:space="preserve">7.50 [7.36, 7.66]</w:t>
            </w:r>
          </w:p>
        </w:tc>
        <w:tc>
          <w:tcPr>
            <w:tcW w:w="1984" w:type="dxa"/>
          </w:tcPr>
          <w:p>
            <w:pPr>
              <w:pStyle w:val="Compact"/>
              <w:keepLines/>
              <w:jc w:val="left"/>
            </w:pPr>
            <w:r>
              <w:rPr>
                <w:sz w:val="17"/>
              </w:rPr>
              <w:t xml:space="preserve">8.90 [7.65, 10.18]</w:t>
            </w:r>
          </w:p>
        </w:tc>
        <w:tc>
          <w:tcPr>
            <w:tcW w:w="755" w:type="dxa"/>
          </w:tcPr>
          <w:p>
            <w:pPr>
              <w:pStyle w:val="Compact"/>
              <w:keepLines/>
              <w:jc w:val="right"/>
            </w:pPr>
            <w:r>
              <w:rPr>
                <w:sz w:val="17"/>
              </w:rPr>
              <w:t xml:space="preserve">1.2</w:t>
            </w:r>
          </w:p>
        </w:tc>
        <w:tc>
          <w:tcPr>
            <w:tcW w:w="1984" w:type="dxa"/>
          </w:tcPr>
          <w:p>
            <w:pPr>
              <w:pStyle w:val="Compact"/>
              <w:keepLines/>
              <w:jc w:val="right"/>
            </w:pPr>
            <w:r>
              <w:rPr>
                <w:sz w:val="17"/>
              </w:rPr>
              <w:t xml:space="preserve">8.96</w:t>
            </w:r>
          </w:p>
        </w:tc>
        <w:tc>
          <w:tcPr>
            <w:tcW w:w="755" w:type="dxa"/>
          </w:tcPr>
          <w:p>
            <w:pPr>
              <w:pStyle w:val="Compact"/>
              <w:keepLines/>
              <w:jc w:val="right"/>
            </w:pPr>
            <w:r>
              <w:rPr>
                <w:sz w:val="17"/>
              </w:rPr>
              <w:t xml:space="preserve">1.01</w:t>
            </w:r>
          </w:p>
        </w:tc>
      </w:tr>
      <w:tr>
        <w:trPr>
          <w:cantSplit w:val="true"/>
        </w:trPr>
        <w:tc>
          <w:tcPr>
            <w:tcW w:w="1795" w:type="dxa"/>
          </w:tcPr>
          <w:p>
            <w:pPr>
              <w:pStyle w:val="Compact"/>
              <w:keepLines/>
              <w:jc w:val="left"/>
            </w:pPr>
            <w:r>
              <w:rPr>
                <w:sz w:val="17"/>
              </w:rPr>
              <w:t xml:space="preserve">kNN</w:t>
            </w:r>
          </w:p>
        </w:tc>
        <w:tc>
          <w:tcPr>
            <w:tcW w:w="1795" w:type="dxa"/>
          </w:tcPr>
          <w:p>
            <w:pPr>
              <w:pStyle w:val="Compact"/>
              <w:keepLines/>
              <w:jc w:val="left"/>
            </w:pPr>
            <w:r>
              <w:rPr>
                <w:sz w:val="17"/>
              </w:rPr>
              <w:t xml:space="preserve">4.68 [4.56, 4.80]</w:t>
            </w:r>
          </w:p>
        </w:tc>
        <w:tc>
          <w:tcPr>
            <w:tcW w:w="1984" w:type="dxa"/>
          </w:tcPr>
          <w:p>
            <w:pPr>
              <w:pStyle w:val="Compact"/>
              <w:keepLines/>
              <w:jc w:val="left"/>
            </w:pPr>
            <w:r>
              <w:rPr>
                <w:sz w:val="17"/>
              </w:rPr>
              <w:t xml:space="preserve">9.63 [8.16, 10.96]</w:t>
            </w:r>
          </w:p>
        </w:tc>
        <w:tc>
          <w:tcPr>
            <w:tcW w:w="755" w:type="dxa"/>
          </w:tcPr>
          <w:p>
            <w:pPr>
              <w:pStyle w:val="Compact"/>
              <w:keepLines/>
              <w:jc w:val="right"/>
            </w:pPr>
            <w:r>
              <w:rPr>
                <w:sz w:val="17"/>
              </w:rPr>
              <w:t xml:space="preserve">2.1</w:t>
            </w:r>
          </w:p>
        </w:tc>
        <w:tc>
          <w:tcPr>
            <w:tcW w:w="1984" w:type="dxa"/>
          </w:tcPr>
          <w:p>
            <w:pPr>
              <w:pStyle w:val="Compact"/>
              <w:keepLines/>
              <w:jc w:val="right"/>
            </w:pPr>
            <w:r>
              <w:rPr>
                <w:sz w:val="17"/>
              </w:rPr>
              <w:t xml:space="preserve">see Table 16</w:t>
            </w:r>
          </w:p>
        </w:tc>
        <w:tc>
          <w:tcPr>
            <w:tcW w:w="755" w:type="dxa"/>
          </w:tcPr>
          <w:p>
            <w:pPr>
              <w:pStyle w:val="Compact"/>
              <w:keepLines/>
            </w:pPr>
          </w:p>
        </w:tc>
      </w:tr>
      <w:tr>
        <w:trPr>
          <w:cantSplit w:val="true"/>
        </w:trPr>
        <w:tc>
          <w:tcPr>
            <w:tcW w:w="1795" w:type="dxa"/>
          </w:tcPr>
          <w:p>
            <w:pPr>
              <w:pStyle w:val="Compact"/>
              <w:keepLines/>
              <w:jc w:val="left"/>
            </w:pPr>
            <w:r>
              <w:rPr>
                <w:sz w:val="17"/>
              </w:rPr>
              <w:t xml:space="preserve">SVR (RBF)</w:t>
            </w:r>
          </w:p>
        </w:tc>
        <w:tc>
          <w:tcPr>
            <w:tcW w:w="1795" w:type="dxa"/>
          </w:tcPr>
          <w:p>
            <w:pPr>
              <w:pStyle w:val="Compact"/>
              <w:keepLines/>
              <w:jc w:val="left"/>
            </w:pPr>
            <w:r>
              <w:rPr>
                <w:sz w:val="17"/>
              </w:rPr>
              <w:t xml:space="preserve">5.23 [5.17, 5.28]</w:t>
            </w:r>
          </w:p>
        </w:tc>
        <w:tc>
          <w:tcPr>
            <w:tcW w:w="1984" w:type="dxa"/>
          </w:tcPr>
          <w:p>
            <w:pPr>
              <w:pStyle w:val="Compact"/>
              <w:keepLines/>
              <w:jc w:val="left"/>
            </w:pPr>
            <w:r>
              <w:rPr>
                <w:sz w:val="17"/>
              </w:rPr>
              <w:t xml:space="preserve">10.39 [9.00, 11.76]</w:t>
            </w:r>
          </w:p>
        </w:tc>
        <w:tc>
          <w:tcPr>
            <w:tcW w:w="755" w:type="dxa"/>
          </w:tcPr>
          <w:p>
            <w:pPr>
              <w:pStyle w:val="Compact"/>
              <w:keepLines/>
              <w:jc w:val="right"/>
            </w:pPr>
            <w:r>
              <w:rPr>
                <w:sz w:val="17"/>
              </w:rPr>
              <w:t xml:space="preserve">2.0</w:t>
            </w:r>
          </w:p>
        </w:tc>
        <w:tc>
          <w:tcPr>
            <w:tcW w:w="1984" w:type="dxa"/>
          </w:tcPr>
          <w:p>
            <w:pPr>
              <w:pStyle w:val="Compact"/>
              <w:keepLines/>
              <w:jc w:val="right"/>
            </w:pPr>
            <w:r>
              <w:rPr>
                <w:sz w:val="17"/>
              </w:rPr>
              <w:t xml:space="preserve">10.35</w:t>
            </w:r>
          </w:p>
        </w:tc>
        <w:tc>
          <w:tcPr>
            <w:tcW w:w="755" w:type="dxa"/>
          </w:tcPr>
          <w:p>
            <w:pPr>
              <w:pStyle w:val="Compact"/>
              <w:keepLines/>
              <w:jc w:val="right"/>
            </w:pPr>
            <w:r>
              <w:rPr>
                <w:sz w:val="17"/>
              </w:rPr>
              <w:t xml:space="preserve">1.00</w:t>
            </w:r>
          </w:p>
        </w:tc>
      </w:tr>
      <w:tr>
        <w:trPr>
          <w:cantSplit w:val="true"/>
        </w:trPr>
        <w:tc>
          <w:tcPr>
            <w:tcW w:w="1795" w:type="dxa"/>
          </w:tcPr>
          <w:p>
            <w:pPr>
              <w:pStyle w:val="Compact"/>
              <w:keepLines/>
              <w:jc w:val="left"/>
            </w:pPr>
            <w:r>
              <w:rPr>
                <w:sz w:val="17"/>
              </w:rPr>
              <w:t xml:space="preserve">Random forest</w:t>
            </w:r>
          </w:p>
        </w:tc>
        <w:tc>
          <w:tcPr>
            <w:tcW w:w="1795" w:type="dxa"/>
          </w:tcPr>
          <w:p>
            <w:pPr>
              <w:pStyle w:val="Compact"/>
              <w:keepLines/>
              <w:jc w:val="left"/>
            </w:pPr>
            <w:r>
              <w:rPr>
                <w:b/>
                <w:bCs/>
                <w:sz w:val="17"/>
              </w:rPr>
              <w:t xml:space="preserve">1.31</w:t>
            </w:r>
            <w:r>
              <w:rPr>
                <w:sz w:val="17"/>
              </w:rPr>
              <w:t xml:space="preserve"> </w:t>
            </w:r>
            <w:r>
              <w:rPr>
                <w:sz w:val="17"/>
              </w:rPr>
              <w:t xml:space="preserve">[1.19, 1.43]</w:t>
            </w:r>
          </w:p>
        </w:tc>
        <w:tc>
          <w:tcPr>
            <w:tcW w:w="1984" w:type="dxa"/>
          </w:tcPr>
          <w:p>
            <w:pPr>
              <w:pStyle w:val="Compact"/>
              <w:keepLines/>
              <w:jc w:val="left"/>
            </w:pPr>
            <w:r>
              <w:rPr>
                <w:sz w:val="17"/>
              </w:rPr>
              <w:t xml:space="preserve">9.24 [7.82, 10.53]</w:t>
            </w:r>
          </w:p>
        </w:tc>
        <w:tc>
          <w:tcPr>
            <w:tcW w:w="755" w:type="dxa"/>
          </w:tcPr>
          <w:p>
            <w:pPr>
              <w:pStyle w:val="Compact"/>
              <w:keepLines/>
              <w:jc w:val="right"/>
            </w:pPr>
            <w:r>
              <w:rPr>
                <w:sz w:val="17"/>
              </w:rPr>
              <w:t xml:space="preserve">7.1</w:t>
            </w:r>
          </w:p>
        </w:tc>
        <w:tc>
          <w:tcPr>
            <w:tcW w:w="1984" w:type="dxa"/>
          </w:tcPr>
          <w:p>
            <w:pPr>
              <w:pStyle w:val="Compact"/>
              <w:keepLines/>
              <w:jc w:val="right"/>
            </w:pPr>
            <w:r>
              <w:rPr>
                <w:sz w:val="17"/>
              </w:rPr>
              <w:t xml:space="preserve">see Table 16</w:t>
            </w:r>
          </w:p>
        </w:tc>
        <w:tc>
          <w:tcPr>
            <w:tcW w:w="755" w:type="dxa"/>
          </w:tcPr>
          <w:p>
            <w:pPr>
              <w:pStyle w:val="Compact"/>
              <w:keepLines/>
            </w:pPr>
          </w:p>
        </w:tc>
      </w:tr>
      <w:tr>
        <w:trPr>
          <w:cantSplit w:val="true"/>
        </w:trPr>
        <w:tc>
          <w:tcPr>
            <w:tcW w:w="1795" w:type="dxa"/>
          </w:tcPr>
          <w:p>
            <w:pPr>
              <w:pStyle w:val="Compact"/>
              <w:keepLines/>
              <w:jc w:val="left"/>
            </w:pPr>
            <w:r>
              <w:rPr>
                <w:sz w:val="17"/>
              </w:rPr>
              <w:t xml:space="preserve">Gradient boosting</w:t>
            </w:r>
          </w:p>
        </w:tc>
        <w:tc>
          <w:tcPr>
            <w:tcW w:w="1795" w:type="dxa"/>
          </w:tcPr>
          <w:p>
            <w:pPr>
              <w:pStyle w:val="Compact"/>
              <w:keepLines/>
              <w:jc w:val="left"/>
            </w:pPr>
            <w:r>
              <w:rPr>
                <w:sz w:val="17"/>
              </w:rPr>
              <w:t xml:space="preserve">3.10 [3.03, 3.17]</w:t>
            </w:r>
          </w:p>
        </w:tc>
        <w:tc>
          <w:tcPr>
            <w:tcW w:w="1984" w:type="dxa"/>
          </w:tcPr>
          <w:p>
            <w:pPr>
              <w:pStyle w:val="Compact"/>
              <w:keepLines/>
              <w:jc w:val="left"/>
            </w:pPr>
            <w:r>
              <w:rPr>
                <w:sz w:val="17"/>
              </w:rPr>
              <w:t xml:space="preserve">9.41 [7.83, 10.88]</w:t>
            </w:r>
          </w:p>
        </w:tc>
        <w:tc>
          <w:tcPr>
            <w:tcW w:w="755" w:type="dxa"/>
          </w:tcPr>
          <w:p>
            <w:pPr>
              <w:pStyle w:val="Compact"/>
              <w:keepLines/>
              <w:jc w:val="right"/>
            </w:pPr>
            <w:r>
              <w:rPr>
                <w:sz w:val="17"/>
              </w:rPr>
              <w:t xml:space="preserve">3.0</w:t>
            </w:r>
          </w:p>
        </w:tc>
        <w:tc>
          <w:tcPr>
            <w:tcW w:w="1984" w:type="dxa"/>
          </w:tcPr>
          <w:p>
            <w:pPr>
              <w:pStyle w:val="Compact"/>
              <w:keepLines/>
              <w:jc w:val="right"/>
            </w:pPr>
            <w:r>
              <w:rPr>
                <w:sz w:val="17"/>
              </w:rPr>
              <w:t xml:space="preserve">10.07</w:t>
            </w:r>
          </w:p>
        </w:tc>
        <w:tc>
          <w:tcPr>
            <w:tcW w:w="755" w:type="dxa"/>
          </w:tcPr>
          <w:p>
            <w:pPr>
              <w:pStyle w:val="Compact"/>
              <w:keepLines/>
              <w:jc w:val="right"/>
            </w:pPr>
            <w:r>
              <w:rPr>
                <w:sz w:val="17"/>
              </w:rPr>
              <w:t xml:space="preserve">1.07</w:t>
            </w:r>
          </w:p>
        </w:tc>
      </w:tr>
    </w:tbl>
    <w:p>
      <w:pPr>
        <w:pStyle w:val="CaptionedFigure"/>
        <w:keepNext/>
        <w:spacing w:before="120"/>
        <w:jc w:val="center"/>
      </w:pPr>
      <w:r>
        <w:drawing>
          <wp:inline>
            <wp:extent cx="5753100" cy="2636837"/>
            <wp:effectExtent b="0" l="0" r="0" t="0"/>
            <wp:docPr descr="Fig. 4. Inflation ratio \rho (RMSE on held-out groups divided by RMSE under random splitting) for five model families on the five dataset–target combinations. The dashed line marks no inflation. Values are labelled above the bars; the vertical axis is logarithmic." title="" id="56" name="Picture"/>
            <a:graphic>
              <a:graphicData uri="http://schemas.openxmlformats.org/drawingml/2006/picture">
                <pic:pic>
                  <pic:nvPicPr>
                    <pic:cNvPr descr="../figures/paper/fig04_inflation.png" id="57" name="Picture"/>
                    <pic:cNvPicPr>
                      <a:picLocks noChangeArrowheads="1" noChangeAspect="1"/>
                    </pic:cNvPicPr>
                  </pic:nvPicPr>
                  <pic:blipFill>
                    <a:blip r:embed="rId55"/>
                    <a:stretch>
                      <a:fillRect/>
                    </a:stretch>
                  </pic:blipFill>
                  <pic:spPr bwMode="auto">
                    <a:xfrm>
                      <a:off x="0" y="0"/>
                      <a:ext cx="5753100" cy="2636837"/>
                    </a:xfrm>
                    <a:prstGeom prst="rect">
                      <a:avLst/>
                    </a:prstGeom>
                    <a:noFill/>
                    <a:ln w="9525">
                      <a:noFill/>
                      <a:headEnd/>
                      <a:tailEnd/>
                    </a:ln>
                  </pic:spPr>
                </pic:pic>
              </a:graphicData>
            </a:graphic>
          </wp:inline>
        </w:drawing>
      </w:r>
    </w:p>
    <w:p>
      <w:pPr>
        <w:pStyle w:val="ImageCaption"/>
      </w:pPr>
      <w:r>
        <w:t xml:space="preserve">Fig. 4. Inflation ratio</w:t>
      </w:r>
      <w:r>
        <w:t xml:space="preserve"> </w:t>
      </w:r>
      <m:oMath>
        <m:r>
          <m:t>ρ</m:t>
        </m:r>
      </m:oMath>
      <w:r>
        <w:t xml:space="preserve"> </w:t>
      </w:r>
      <w:r>
        <w:t xml:space="preserve">(RMSE on held-out groups divided by RMSE under random splitting) for five model families on the five dataset–target combinations. The dashed line marks no inflation. Values are labelled above the bars; the vertical axis is logarithmic.</w:t>
      </w:r>
    </w:p>
    <w:p>
      <w:pPr>
        <w:pStyle w:val="BodyText"/>
      </w:pPr>
      <w:r>
        <w:t xml:space="preserve">The most important feature of Tables 10 and 11 is the comparison with the no-skill reference. On held-out patients,</w:t>
      </w:r>
      <w:r>
        <w:t xml:space="preserve"> </w:t>
      </w:r>
      <w:r>
        <w:rPr>
          <w:i/>
          <w:iCs/>
        </w:rPr>
        <w:t xml:space="preserve">every</w:t>
      </w:r>
      <w:r>
        <w:t xml:space="preserve"> </w:t>
      </w:r>
      <w:r>
        <w:t xml:space="preserve">model has a higher pooled RMSE than the training-mean predictor: for total UPDRS 11.55–13.34 versus 10.89 (skill scores</w:t>
      </w:r>
      <w:r>
        <w:t xml:space="preserve"> </w:t>
      </w:r>
      <m:oMath>
        <m:r>
          <m:t>S</m:t>
        </m:r>
        <m:r>
          <m:t>S</m:t>
        </m:r>
      </m:oMath>
      <w:r>
        <w:t xml:space="preserve"> </w:t>
      </w:r>
      <w:r>
        <w:t xml:space="preserve">between</w:t>
      </w:r>
      <w:r>
        <w:t xml:space="preserve"> </w:t>
      </w:r>
      <m:oMath>
        <m:r>
          <m:rPr>
            <m:sty m:val="p"/>
          </m:rPr>
          <m:t>−</m:t>
        </m:r>
        <m:r>
          <m:t>0.12</m:t>
        </m:r>
      </m:oMath>
      <w:r>
        <w:t xml:space="preserve"> </w:t>
      </w:r>
      <w:r>
        <w:t xml:space="preserve">and</w:t>
      </w:r>
      <w:r>
        <w:t xml:space="preserve"> </w:t>
      </w:r>
      <m:oMath>
        <m:r>
          <m:rPr>
            <m:sty m:val="p"/>
          </m:rPr>
          <m:t>−</m:t>
        </m:r>
        <m:r>
          <m:t>0.50</m:t>
        </m:r>
      </m:oMath>
      <w:r>
        <w:t xml:space="preserve">) and for motor UPDRS 8.90–10.39 versus 8.25 (</w:t>
      </w:r>
      <m:oMath>
        <m:r>
          <m:t>S</m:t>
        </m:r>
        <m:r>
          <m:t>S</m:t>
        </m:r>
      </m:oMath>
      <w:r>
        <w:t xml:space="preserve"> </w:t>
      </w:r>
      <w:r>
        <w:t xml:space="preserve">between</w:t>
      </w:r>
      <w:r>
        <w:t xml:space="preserve"> </w:t>
      </w:r>
      <m:oMath>
        <m:r>
          <m:rPr>
            <m:sty m:val="p"/>
          </m:rPr>
          <m:t>−</m:t>
        </m:r>
        <m:r>
          <m:t>0.16</m:t>
        </m:r>
      </m:oMath>
      <w:r>
        <w:t xml:space="preserve"> </w:t>
      </w:r>
      <w:r>
        <w:t xml:space="preserve">and</w:t>
      </w:r>
      <w:r>
        <w:t xml:space="preserve"> </w:t>
      </w:r>
      <m:oMath>
        <m:r>
          <m:rPr>
            <m:sty m:val="p"/>
          </m:rPr>
          <m:t>−</m:t>
        </m:r>
        <m:r>
          <m:t>0.59</m:t>
        </m:r>
      </m:oMath>
      <w:r>
        <w:t xml:space="preserve">). The evidence is graded. A paired comparison over the ten folds (Wilcoxon signed-rank test on fold RMSE,</w:t>
      </w:r>
      <w:r>
        <w:t xml:space="preserve"> </w:t>
      </w:r>
      <w:r>
        <w:rPr>
          <w:rStyle w:val="VerbatimChar"/>
        </w:rPr>
        <w:t xml:space="preserve">results/new/pk_vs_noskill_paired.csv</w:t>
      </w:r>
      <w:r>
        <w:t xml:space="preserve">) shows that SVR and kNN are significantly worse than the training mean for both targets (</w:t>
      </w:r>
      <m:oMath>
        <m:r>
          <m:t>p</m:t>
        </m:r>
        <m:r>
          <m:rPr>
            <m:sty m:val="p"/>
          </m:rPr>
          <m:t>=</m:t>
        </m:r>
        <m:r>
          <m:t>0.004</m:t>
        </m:r>
      </m:oMath>
      <w:r>
        <w:t xml:space="preserve">–</w:t>
      </w:r>
      <m:oMath>
        <m:r>
          <m:t>0.020</m:t>
        </m:r>
      </m:oMath>
      <w:r>
        <w:t xml:space="preserve">; at most 2 of 10 folds better), whereas ridge regression, random forest and gradient boosting are worse on average but not significantly so (</w:t>
      </w:r>
      <m:oMath>
        <m:r>
          <m:t>p</m:t>
        </m:r>
        <m:r>
          <m:rPr>
            <m:sty m:val="p"/>
          </m:rPr>
          <m:t>=</m:t>
        </m:r>
        <m:r>
          <m:t>0.105</m:t>
        </m:r>
      </m:oMath>
      <w:r>
        <w:t xml:space="preserve">–</w:t>
      </w:r>
      <m:oMath>
        <m:r>
          <m:t>0.625</m:t>
        </m:r>
      </m:oMath>
      <w:r>
        <w:t xml:space="preserve">; 2–5 of 10 folds better). No model is better than the training mean in a statistically meaningful sense. This means that, in the standard feature setup, the apparent skill under random splitting reflects recognition of patients, not information about the disease state of a new patient. We examine this further in Section 6.3.</w:t>
      </w:r>
    </w:p>
    <w:bookmarkEnd w:id="58"/>
    <w:bookmarkStart w:id="62" w:name="enb2012-per-geometry-errors"/>
    <w:p>
      <w:pPr>
        <w:pStyle w:val="Heading3"/>
      </w:pPr>
      <w:r>
        <w:rPr>
          <w:rStyle w:val="SectionNumber"/>
        </w:rPr>
        <w:t xml:space="preserve">6.1.5</w:t>
      </w:r>
      <w:r>
        <w:tab/>
      </w:r>
      <w:r>
        <w:t xml:space="preserve">ENB2012 per-geometry errors</w:t>
      </w:r>
    </w:p>
    <w:p>
      <w:pPr>
        <w:pStyle w:val="FirstParagraph"/>
      </w:pPr>
      <w:r>
        <w:t xml:space="preserve">Fig. 5 shows the leave-one-geometry-out RMSE for each held-out geometry. The errors are highly heterogeneous. Geometries 8–10 (3.5 m buildings in the middle of their height group) are predicted with RMSE of about 0.4–1.1 kWh/m² by SVR and the tree ensembles, whereas geometries 4 and 5 (7 m buildings) are predicted with RMSE of 4–13 kWh/m² by all models, and geometry 7 (the first 3.5 m building) is predicted well by SVR (0.9) and ridge (2.3) but poorly by the tree ensembles (about 10). Tree ensembles are thus particularly poor at one specific type of extrapolation: they cannot predict the transition to a new height group because no leaf covers it, whereas SVR and ridge extrapolate smoothly. The per-geometry means are therefore a more informative summary than a single pooled number.</w:t>
      </w:r>
    </w:p>
    <w:p>
      <w:pPr>
        <w:pStyle w:val="CaptionedFigure"/>
        <w:keepNext/>
        <w:spacing w:before="120"/>
        <w:jc w:val="center"/>
      </w:pPr>
      <w:r>
        <w:drawing>
          <wp:inline>
            <wp:extent cx="5753100" cy="1882832"/>
            <wp:effectExtent b="0" l="0" r="0" t="0"/>
            <wp:docPr descr="Fig. 5. ENB2012: leave-one-geometry-out RMSE (kWh/m²) for each held-out geometry (columns) and model (rows), for heating load (left) and cooling load (right)." title="" id="60" name="Picture"/>
            <a:graphic>
              <a:graphicData uri="http://schemas.openxmlformats.org/drawingml/2006/picture">
                <pic:pic>
                  <pic:nvPicPr>
                    <pic:cNvPr descr="../figures/paper/fig05_per_geometry.png" id="61" name="Picture"/>
                    <pic:cNvPicPr>
                      <a:picLocks noChangeArrowheads="1" noChangeAspect="1"/>
                    </pic:cNvPicPr>
                  </pic:nvPicPr>
                  <pic:blipFill>
                    <a:blip r:embed="rId59"/>
                    <a:stretch>
                      <a:fillRect/>
                    </a:stretch>
                  </pic:blipFill>
                  <pic:spPr bwMode="auto">
                    <a:xfrm>
                      <a:off x="0" y="0"/>
                      <a:ext cx="5753100" cy="1882832"/>
                    </a:xfrm>
                    <a:prstGeom prst="rect">
                      <a:avLst/>
                    </a:prstGeom>
                    <a:noFill/>
                    <a:ln w="9525">
                      <a:noFill/>
                      <a:headEnd/>
                      <a:tailEnd/>
                    </a:ln>
                  </pic:spPr>
                </pic:pic>
              </a:graphicData>
            </a:graphic>
          </wp:inline>
        </w:drawing>
      </w:r>
    </w:p>
    <w:p>
      <w:pPr>
        <w:pStyle w:val="ImageCaption"/>
      </w:pPr>
      <w:r>
        <w:t xml:space="preserve">Fig. 5. ENB2012: leave-one-geometry-out RMSE (kWh/m²) for each held-out geometry (columns) and model (rows), for heating load (left) and cooling load (right).</w:t>
      </w:r>
    </w:p>
    <w:bookmarkEnd w:id="62"/>
    <w:bookmarkEnd w:id="63"/>
    <w:bookmarkStart w:id="71" w:name="learning-curves-and-extrapolation"/>
    <w:p>
      <w:pPr>
        <w:pStyle w:val="Heading2"/>
      </w:pPr>
      <w:r>
        <w:rPr>
          <w:rStyle w:val="SectionNumber"/>
        </w:rPr>
        <w:t xml:space="preserve">6.2</w:t>
      </w:r>
      <w:r>
        <w:tab/>
      </w:r>
      <w:r>
        <w:t xml:space="preserve">Learning curves and extrapolation</w:t>
      </w:r>
    </w:p>
    <w:p>
      <w:pPr>
        <w:pStyle w:val="FirstParagraph"/>
      </w:pPr>
      <w:r>
        <w:t xml:space="preserve">The learning curves in Fig. 6 plot the RMSE against the number of training groups, for group-held-out evaluation (solid) and for a random split with the same number of training rows (dashed). They give a direct view of what additional data would help.</w:t>
      </w:r>
    </w:p>
    <w:p>
      <w:pPr>
        <w:pStyle w:val="CaptionedFigure"/>
        <w:keepNext/>
        <w:spacing w:before="120"/>
        <w:jc w:val="center"/>
      </w:pPr>
      <w:r>
        <w:drawing>
          <wp:inline>
            <wp:extent cx="5753100" cy="4474633"/>
            <wp:effectExtent b="0" l="0" r="0" t="0"/>
            <wp:docPr descr="Fig. 6. Learning curves over the number of training groups. Solid lines: test groups unseen; dashed lines: random split with the same number of training rows; dotted line: standard deviation of the target (no-skill level). Means over 25 (ENB2012), 8 (Concrete) and 6 (Parkinson’s) random draws of training and test groups." title="" id="65" name="Picture"/>
            <a:graphic>
              <a:graphicData uri="http://schemas.openxmlformats.org/drawingml/2006/picture">
                <pic:pic>
                  <pic:nvPicPr>
                    <pic:cNvPr descr="../figures/paper/fig06_learning_curves.png" id="66" name="Picture"/>
                    <pic:cNvPicPr>
                      <a:picLocks noChangeArrowheads="1" noChangeAspect="1"/>
                    </pic:cNvPicPr>
                  </pic:nvPicPr>
                  <pic:blipFill>
                    <a:blip r:embed="rId64"/>
                    <a:stretch>
                      <a:fillRect/>
                    </a:stretch>
                  </pic:blipFill>
                  <pic:spPr bwMode="auto">
                    <a:xfrm>
                      <a:off x="0" y="0"/>
                      <a:ext cx="5753100" cy="4474633"/>
                    </a:xfrm>
                    <a:prstGeom prst="rect">
                      <a:avLst/>
                    </a:prstGeom>
                    <a:noFill/>
                    <a:ln w="9525">
                      <a:noFill/>
                      <a:headEnd/>
                      <a:tailEnd/>
                    </a:ln>
                  </pic:spPr>
                </pic:pic>
              </a:graphicData>
            </a:graphic>
          </wp:inline>
        </w:drawing>
      </w:r>
    </w:p>
    <w:p>
      <w:pPr>
        <w:pStyle w:val="ImageCaption"/>
      </w:pPr>
      <w:r>
        <w:t xml:space="preserve">Fig. 6. Learning curves over the number of training groups. Solid lines: test groups unseen; dashed lines: random split with the same number of training rows; dotted line: standard deviation of the target (no-skill level). Means over 25 (ENB2012), 8 (Concrete) and 6 (Parkinson’s) random draws of training and test groups.</w:t>
      </w:r>
    </w:p>
    <w:p>
      <w:pPr>
        <w:pStyle w:val="BodyText"/>
      </w:pPr>
      <w:r>
        <w:rPr>
          <w:b/>
          <w:bCs/>
        </w:rPr>
        <w:t xml:space="preserve">ENB2012.</w:t>
      </w:r>
      <w:r>
        <w:t xml:space="preserve"> </w:t>
      </w:r>
      <w:r>
        <w:t xml:space="preserve">The random-split curves are flat and low (gradient boosting 0.78 to 0.42 kWh/m² for heating load as the training rows grow). The grouped curves start at the no-skill level with two training geometries (gradient boosting 9.35, ridge 12.54) and fall steeply to 5.4–6.8 with three geometries, after which they flatten or even rise: for gradient boosting the heating-load RMSE is 5.44, 5.34, 5.08, 5.30 and 6.05 for 3, 4, 6, 8 and 10 training geometries, and for SVR it rises from 6.35 to 9.36. Only ridge regression keeps improving (4.17 with ten geometries). The non-monotone behaviour reflects which geometries are held out (extrapolation to a height group not represented in training is harder) and shows that collecting more rows from the same geometries is useless for new geometries; what matters is the coverage of the geometry grid.</w:t>
      </w:r>
    </w:p>
    <w:p>
      <w:pPr>
        <w:pStyle w:val="BodyText"/>
      </w:pPr>
      <w:r>
        <w:rPr>
          <w:b/>
          <w:bCs/>
        </w:rPr>
        <w:t xml:space="preserve">Concrete.</w:t>
      </w:r>
      <w:r>
        <w:t xml:space="preserve"> </w:t>
      </w:r>
      <w:r>
        <w:t xml:space="preserve">Grouped and random curves decrease together and converge: with 380 training mixes the RMSE of gradient boosting is 4.93 (grouped) and 4.76 (random); with 50 mixes it is 8.65 and 7.70. Concrete has many small groups, so the number of training groups and the number of training rows are almost the same quantity.</w:t>
      </w:r>
    </w:p>
    <w:p>
      <w:pPr>
        <w:pStyle w:val="BodyText"/>
      </w:pPr>
      <w:r>
        <w:rPr>
          <w:b/>
          <w:bCs/>
        </w:rPr>
        <w:t xml:space="preserve">Parkinson’s.</w:t>
      </w:r>
      <w:r>
        <w:t xml:space="preserve"> </w:t>
      </w:r>
      <w:r>
        <w:t xml:space="preserve">The random-split curves of the flexible models decrease gradually (gradient boosting 5.79 to 3.81 as the number of training patients grows from 4 to 36), whereas the patient-held-out curves are flat and</w:t>
      </w:r>
      <w:r>
        <w:t xml:space="preserve"> </w:t>
      </w:r>
      <w:r>
        <w:rPr>
          <w:i/>
          <w:iCs/>
        </w:rPr>
        <w:t xml:space="preserve">above</w:t>
      </w:r>
      <w:r>
        <w:t xml:space="preserve"> </w:t>
      </w:r>
      <w:r>
        <w:t xml:space="preserve">the no-skill level for almost all models and sample sizes: gradient boosting 15.4, 11.9, 14.0, 14.6, 13.2 and 12.9 for 4–36 training patients, against a target standard deviation of 10.7. Only ridge regression with 36 patients (10.1) falls just below the no-skill line. Adding patients does not rescue the voice-feature models within the range of the study.</w:t>
      </w:r>
    </w:p>
    <w:bookmarkStart w:id="70" w:name="distance-to-the-training-geometries"/>
    <w:p>
      <w:pPr>
        <w:pStyle w:val="Heading3"/>
      </w:pPr>
      <w:r>
        <w:rPr>
          <w:rStyle w:val="SectionNumber"/>
        </w:rPr>
        <w:t xml:space="preserve">6.2.1</w:t>
      </w:r>
      <w:r>
        <w:tab/>
      </w:r>
      <w:r>
        <w:t xml:space="preserve">Distance to the training geometries</w:t>
      </w:r>
    </w:p>
    <w:p>
      <w:pPr>
        <w:pStyle w:val="FirstParagraph"/>
      </w:pPr>
      <w:r>
        <w:t xml:space="preserve">We examined whether the held-out error in ENB2012 is related to how far the held-out geometry is from the training geometries in the space of the standardised attributes</w:t>
      </w:r>
      <w:r>
        <w:t xml:space="preserve"> </w:t>
      </w:r>
      <m:oMath>
        <m:sSub>
          <m:e>
            <m:r>
              <m:t>X</m:t>
            </m:r>
          </m:e>
          <m:sub>
            <m:r>
              <m:t>1</m:t>
            </m:r>
          </m:sub>
        </m:sSub>
      </m:oMath>
      <w:r>
        <w:t xml:space="preserve">–</w:t>
      </w:r>
      <m:oMath>
        <m:sSub>
          <m:e>
            <m:r>
              <m:t>X</m:t>
            </m:r>
          </m:e>
          <m:sub>
            <m:r>
              <m:t>5</m:t>
            </m:r>
          </m:sub>
        </m:sSub>
      </m:oMath>
      <w:r>
        <w:t xml:space="preserve"> </w:t>
      </w:r>
      <w:r>
        <w:t xml:space="preserve">(Fig. 7a). The relationship is positive but moderate: Spearman correlations between the nearest-training-geometry distance and the per-geometry RMSE are 0.36 (ridge,</w:t>
      </w:r>
      <w:r>
        <w:t xml:space="preserve"> </w:t>
      </w:r>
      <m:oMath>
        <m:r>
          <m:t>p</m:t>
        </m:r>
        <m:r>
          <m:rPr>
            <m:sty m:val="p"/>
          </m:rPr>
          <m:t>=</m:t>
        </m:r>
        <m:r>
          <m:t>0.25</m:t>
        </m:r>
      </m:oMath>
      <w:r>
        <w:t xml:space="preserve">), 0.41 (SVR,</w:t>
      </w:r>
      <w:r>
        <w:t xml:space="preserve"> </w:t>
      </w:r>
      <m:oMath>
        <m:r>
          <m:t>p</m:t>
        </m:r>
        <m:r>
          <m:rPr>
            <m:sty m:val="p"/>
          </m:rPr>
          <m:t>=</m:t>
        </m:r>
        <m:r>
          <m:t>0.19</m:t>
        </m:r>
      </m:oMath>
      <w:r>
        <w:t xml:space="preserve">), 0.49 (random forest,</w:t>
      </w:r>
      <w:r>
        <w:t xml:space="preserve"> </w:t>
      </w:r>
      <m:oMath>
        <m:r>
          <m:t>p</m:t>
        </m:r>
        <m:r>
          <m:rPr>
            <m:sty m:val="p"/>
          </m:rPr>
          <m:t>=</m:t>
        </m:r>
        <m:r>
          <m:t>0.10</m:t>
        </m:r>
      </m:oMath>
      <w:r>
        <w:t xml:space="preserve">) and 0.57 (gradient boosting,</w:t>
      </w:r>
      <w:r>
        <w:t xml:space="preserve"> </w:t>
      </w:r>
      <m:oMath>
        <m:r>
          <m:t>p</m:t>
        </m:r>
        <m:r>
          <m:rPr>
            <m:sty m:val="p"/>
          </m:rPr>
          <m:t>=</m:t>
        </m:r>
        <m:r>
          <m:t>0.05</m:t>
        </m:r>
      </m:oMath>
      <w:r>
        <w:t xml:space="preserve">). The correlation with the extremeness of the geometry’s mean load is weaker still (</w:t>
      </w:r>
      <m:oMath>
        <m:r>
          <m:rPr>
            <m:sty m:val="p"/>
          </m:rPr>
          <m:t>|</m:t>
        </m:r>
        <m:sSub>
          <m:e>
            <m:r>
              <m:t>r</m:t>
            </m:r>
          </m:e>
          <m:sub>
            <m:r>
              <m:t>s</m:t>
            </m:r>
          </m:sub>
        </m:sSub>
        <m:r>
          <m:rPr>
            <m:sty m:val="p"/>
          </m:rPr>
          <m:t>|</m:t>
        </m:r>
        <m:r>
          <m:rPr>
            <m:sty m:val="p"/>
          </m:rPr>
          <m:t>≤</m:t>
        </m:r>
        <m:r>
          <m:t>0.21</m:t>
        </m:r>
      </m:oMath>
      <w:r>
        <w:t xml:space="preserve">, all</w:t>
      </w:r>
      <w:r>
        <w:t xml:space="preserve"> </w:t>
      </w:r>
      <m:oMath>
        <m:r>
          <m:t>p</m:t>
        </m:r>
        <m:r>
          <m:rPr>
            <m:sty m:val="p"/>
          </m:rPr>
          <m:t>&gt;</m:t>
        </m:r>
        <m:r>
          <m:t>0.5</m:t>
        </m:r>
      </m:oMath>
      <w:r>
        <w:t xml:space="preserve">). Geometry 5 illustrates why distance alone is not an adequate explanation: it is not far from its nearest neighbour (distance 0.69) but it is the geometry with the highest load, so models trained on the other geometries must extrapolate in both feature and target space. Dividing the geometries into end-of-grid (1, 6, 7, 12) and interior (2–5, 8–11) groups (Fig. 7b) shows larger mean errors at the ends for ridge (3.5 versus 3.1 kWh/m²), random forest (4.7 versus 3.9) and gradient boosting (5.0 versus 3.3) but not for SVR (2.9 versus 3.0). The differences are small relative to the spread between individual geometries, which is dominated by the hard interior geometries 4 and 5.</w:t>
      </w:r>
    </w:p>
    <w:p>
      <w:pPr>
        <w:pStyle w:val="CaptionedFigure"/>
        <w:keepNext/>
        <w:spacing w:before="120"/>
        <w:jc w:val="center"/>
      </w:pPr>
      <w:r>
        <w:drawing>
          <wp:inline>
            <wp:extent cx="5753100" cy="2397125"/>
            <wp:effectExtent b="0" l="0" r="0" t="0"/>
            <wp:docPr descr="Fig. 7. (a) ENB2012 leave-one-geometry-out RMSE (heating load) of each held-out geometry versus the distance to the nearest training geometry in standardised X_1–X_5 space; points of gradient boosting are labelled by geometry number. (b) Mean per-geometry RMSE for interior (pale) and end-of-grid (dark) geometries." title="" id="68" name="Picture"/>
            <a:graphic>
              <a:graphicData uri="http://schemas.openxmlformats.org/drawingml/2006/picture">
                <pic:pic>
                  <pic:nvPicPr>
                    <pic:cNvPr descr="../figures/paper/fig07_extrapolation.png" id="69" name="Picture"/>
                    <pic:cNvPicPr>
                      <a:picLocks noChangeArrowheads="1" noChangeAspect="1"/>
                    </pic:cNvPicPr>
                  </pic:nvPicPr>
                  <pic:blipFill>
                    <a:blip r:embed="rId67"/>
                    <a:stretch>
                      <a:fillRect/>
                    </a:stretch>
                  </pic:blipFill>
                  <pic:spPr bwMode="auto">
                    <a:xfrm>
                      <a:off x="0" y="0"/>
                      <a:ext cx="5753100" cy="2397125"/>
                    </a:xfrm>
                    <a:prstGeom prst="rect">
                      <a:avLst/>
                    </a:prstGeom>
                    <a:noFill/>
                    <a:ln w="9525">
                      <a:noFill/>
                      <a:headEnd/>
                      <a:tailEnd/>
                    </a:ln>
                  </pic:spPr>
                </pic:pic>
              </a:graphicData>
            </a:graphic>
          </wp:inline>
        </w:drawing>
      </w:r>
    </w:p>
    <w:p>
      <w:pPr>
        <w:pStyle w:val="ImageCaption"/>
      </w:pPr>
      <w:r>
        <w:t xml:space="preserve">Fig. 7. (a) ENB2012 leave-one-geometry-out RMSE (heating load) of each held-out geometry versus the distance to the nearest training geometry in standardised</w:t>
      </w:r>
      <w:r>
        <w:t xml:space="preserve"> </w:t>
      </w:r>
      <m:oMath>
        <m:sSub>
          <m:e>
            <m:r>
              <m:t>X</m:t>
            </m:r>
          </m:e>
          <m:sub>
            <m:r>
              <m:t>1</m:t>
            </m:r>
          </m:sub>
        </m:sSub>
      </m:oMath>
      <w:r>
        <w:t xml:space="preserve">–</w:t>
      </w:r>
      <m:oMath>
        <m:sSub>
          <m:e>
            <m:r>
              <m:t>X</m:t>
            </m:r>
          </m:e>
          <m:sub>
            <m:r>
              <m:t>5</m:t>
            </m:r>
          </m:sub>
        </m:sSub>
      </m:oMath>
      <w:r>
        <w:t xml:space="preserve"> </w:t>
      </w:r>
      <w:r>
        <w:t xml:space="preserve">space; points of gradient boosting are labelled by geometry number. (b) Mean per-geometry RMSE for interior (pale) and end-of-grid (dark) geometries.</w:t>
      </w:r>
    </w:p>
    <w:bookmarkEnd w:id="70"/>
    <w:bookmarkEnd w:id="71"/>
    <w:bookmarkStart w:id="81" w:name="X208bc105b8cd913375b920f8b320860158a658f"/>
    <w:p>
      <w:pPr>
        <w:pStyle w:val="Heading2"/>
      </w:pPr>
      <w:r>
        <w:rPr>
          <w:rStyle w:val="SectionNumber"/>
        </w:rPr>
        <w:t xml:space="preserve">6.3</w:t>
      </w:r>
      <w:r>
        <w:tab/>
      </w:r>
      <w:r>
        <w:t xml:space="preserve">Parkinson’s telemonitoring: what carries the apparent skill</w:t>
      </w:r>
    </w:p>
    <w:bookmarkStart w:id="72" w:name="feature-sets"/>
    <w:p>
      <w:pPr>
        <w:pStyle w:val="Heading3"/>
      </w:pPr>
      <w:r>
        <w:rPr>
          <w:rStyle w:val="SectionNumber"/>
        </w:rPr>
        <w:t xml:space="preserve">6.3.1</w:t>
      </w:r>
      <w:r>
        <w:tab/>
      </w:r>
      <w:r>
        <w:t xml:space="preserve">Feature sets</w:t>
      </w:r>
    </w:p>
    <w:p>
      <w:pPr>
        <w:pStyle w:val="FirstParagraph"/>
      </w:pPr>
      <w:r>
        <w:t xml:space="preserve">Section 6.1 showed that no model beats the training mean on new patients. To find out which features generate the near-perfect random-split scores, we repeated the evaluation with five feature subsets: the three demographic and temporal attributes alone (age, sex and</w:t>
      </w:r>
      <w:r>
        <w:t xml:space="preserve"> </w:t>
      </w:r>
      <w:r>
        <w:rPr>
          <w:rStyle w:val="VerbatimChar"/>
        </w:rPr>
        <w:t xml:space="preserve">test_time</w:t>
      </w:r>
      <w:r>
        <w:t xml:space="preserve">), the 16 voice measures alone, and combinations (Table 12, Fig. 8a). The training-mean predictor has RMSE 10.70 under random and 10.89 under patient-held-out splitting.</w:t>
      </w:r>
    </w:p>
    <w:p>
      <w:pPr>
        <w:pStyle w:val="TableCaption"/>
      </w:pPr>
      <w:r>
        <w:t xml:space="preserve">Table 12. Parkinson’s telemonitoring, total UPDRS: RMSE for different feature sets under random 10-fold and patient-held-out 10-fold evaluation, fixed hyper-parameters. The number of features is given in parentheses.</w:t>
      </w:r>
    </w:p>
    <w:tbl>
      <w:tblPr>
        <w:tblStyle w:val="Table"/>
        <w:tblW w:w="9071" w:type="dxa"/>
        <w:tblBorders>
          <w:top w:val="single" w:sz="12" w:space="0" w:color="000000"/>
          <w:left w:val="nil"/>
          <w:bottom w:val="single" w:sz="12"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Caption w:val="Table 12. Parkinson’s telemonitoring, total UPDRS: RMSE for different feature sets under random 10-fold and patient-held-out 10-fold evaluation, fixed hyper-parameters. The number of features is given in parentheses."/>
      </w:tblPr>
      <w:tblGrid>
        <w:gridCol w:w="1312"/>
        <w:gridCol w:w="835"/>
        <w:gridCol w:w="954"/>
        <w:gridCol w:w="1312"/>
        <w:gridCol w:w="1432"/>
        <w:gridCol w:w="1551"/>
        <w:gridCol w:w="1670"/>
      </w:tblGrid>
      <w:tr>
        <w:trPr>
          <w:cantSplit w:val="true"/>
          <w:tblHeader w:val="on"/>
          <w:tblHeader w:val="true"/>
        </w:trPr>
        <w:tc>
          <w:tcPr>
            <w:tcW w:w="1312" w:type="dxa"/>
            <w:tcBorders>
              <w:bottom w:val="single" w:sz="6" w:space="0" w:color="000000"/>
            </w:tcBorders>
          </w:tcPr>
          <w:p>
            <w:pPr>
              <w:pStyle w:val="Compact"/>
              <w:keepLines/>
              <w:jc w:val="left"/>
            </w:pPr>
            <w:r>
              <w:rPr>
                <w:b/>
                <w:sz w:val="16"/>
              </w:rPr>
              <w:t xml:space="preserve">Features</w:t>
            </w:r>
          </w:p>
        </w:tc>
        <w:tc>
          <w:tcPr>
            <w:tcW w:w="835" w:type="dxa"/>
            <w:tcBorders>
              <w:bottom w:val="single" w:sz="6" w:space="0" w:color="000000"/>
            </w:tcBorders>
          </w:tcPr>
          <w:p>
            <w:pPr>
              <w:pStyle w:val="Compact"/>
              <w:keepLines/>
              <w:jc w:val="right"/>
            </w:pPr>
            <w:r>
              <w:rPr>
                <w:b/>
                <w:sz w:val="16"/>
              </w:rPr>
              <w:t xml:space="preserve">Ridge random</w:t>
            </w:r>
          </w:p>
        </w:tc>
        <w:tc>
          <w:tcPr>
            <w:tcW w:w="954" w:type="dxa"/>
            <w:tcBorders>
              <w:bottom w:val="single" w:sz="6" w:space="0" w:color="000000"/>
            </w:tcBorders>
          </w:tcPr>
          <w:p>
            <w:pPr>
              <w:pStyle w:val="Compact"/>
              <w:keepLines/>
              <w:jc w:val="right"/>
            </w:pPr>
            <w:r>
              <w:rPr>
                <w:b/>
                <w:sz w:val="16"/>
              </w:rPr>
              <w:t xml:space="preserve">Ridge held-out</w:t>
            </w:r>
          </w:p>
        </w:tc>
        <w:tc>
          <w:tcPr>
            <w:tcW w:w="1312" w:type="dxa"/>
            <w:tcBorders>
              <w:bottom w:val="single" w:sz="6" w:space="0" w:color="000000"/>
            </w:tcBorders>
          </w:tcPr>
          <w:p>
            <w:pPr>
              <w:pStyle w:val="Compact"/>
              <w:keepLines/>
              <w:jc w:val="right"/>
            </w:pPr>
            <w:r>
              <w:rPr>
                <w:b/>
                <w:sz w:val="16"/>
              </w:rPr>
              <w:t xml:space="preserve">Random forest random</w:t>
            </w:r>
          </w:p>
        </w:tc>
        <w:tc>
          <w:tcPr>
            <w:tcW w:w="1432" w:type="dxa"/>
            <w:tcBorders>
              <w:bottom w:val="single" w:sz="6" w:space="0" w:color="000000"/>
            </w:tcBorders>
          </w:tcPr>
          <w:p>
            <w:pPr>
              <w:pStyle w:val="Compact"/>
              <w:keepLines/>
              <w:jc w:val="right"/>
            </w:pPr>
            <w:r>
              <w:rPr>
                <w:b/>
                <w:sz w:val="16"/>
              </w:rPr>
              <w:t xml:space="preserve">Random forest held-out</w:t>
            </w:r>
          </w:p>
        </w:tc>
        <w:tc>
          <w:tcPr>
            <w:tcW w:w="1551" w:type="dxa"/>
            <w:tcBorders>
              <w:bottom w:val="single" w:sz="6" w:space="0" w:color="000000"/>
            </w:tcBorders>
          </w:tcPr>
          <w:p>
            <w:pPr>
              <w:pStyle w:val="Compact"/>
              <w:keepLines/>
              <w:jc w:val="right"/>
            </w:pPr>
            <w:r>
              <w:rPr>
                <w:b/>
                <w:sz w:val="16"/>
              </w:rPr>
              <w:t xml:space="preserve">Gradient boosting random</w:t>
            </w:r>
          </w:p>
        </w:tc>
        <w:tc>
          <w:tcPr>
            <w:tcW w:w="1670" w:type="dxa"/>
            <w:tcBorders>
              <w:bottom w:val="single" w:sz="6" w:space="0" w:color="000000"/>
            </w:tcBorders>
          </w:tcPr>
          <w:p>
            <w:pPr>
              <w:pStyle w:val="Compact"/>
              <w:keepLines/>
              <w:jc w:val="right"/>
            </w:pPr>
            <w:r>
              <w:rPr>
                <w:b/>
                <w:sz w:val="16"/>
              </w:rPr>
              <w:t xml:space="preserve">Gradient boosting held-out</w:t>
            </w:r>
          </w:p>
        </w:tc>
      </w:tr>
      <w:tr>
        <w:trPr>
          <w:cantSplit w:val="true"/>
        </w:trPr>
        <w:tc>
          <w:tcPr>
            <w:tcW w:w="1312" w:type="dxa"/>
          </w:tcPr>
          <w:p>
            <w:pPr>
              <w:pStyle w:val="Compact"/>
              <w:keepLines/>
              <w:jc w:val="left"/>
            </w:pPr>
            <w:r>
              <w:rPr>
                <w:sz w:val="16"/>
              </w:rPr>
              <w:t xml:space="preserve">Age, sex, time (3)</w:t>
            </w:r>
          </w:p>
        </w:tc>
        <w:tc>
          <w:tcPr>
            <w:tcW w:w="835" w:type="dxa"/>
          </w:tcPr>
          <w:p>
            <w:pPr>
              <w:pStyle w:val="Compact"/>
              <w:keepLines/>
              <w:jc w:val="right"/>
            </w:pPr>
            <w:r>
              <w:rPr>
                <w:sz w:val="16"/>
              </w:rPr>
              <w:t xml:space="preserve">10.11</w:t>
            </w:r>
          </w:p>
        </w:tc>
        <w:tc>
          <w:tcPr>
            <w:tcW w:w="954" w:type="dxa"/>
          </w:tcPr>
          <w:p>
            <w:pPr>
              <w:pStyle w:val="Compact"/>
              <w:keepLines/>
              <w:jc w:val="right"/>
            </w:pPr>
            <w:r>
              <w:rPr>
                <w:sz w:val="16"/>
              </w:rPr>
              <w:t xml:space="preserve">11.19</w:t>
            </w:r>
          </w:p>
        </w:tc>
        <w:tc>
          <w:tcPr>
            <w:tcW w:w="1312" w:type="dxa"/>
          </w:tcPr>
          <w:p>
            <w:pPr>
              <w:pStyle w:val="Compact"/>
              <w:keepLines/>
              <w:jc w:val="right"/>
            </w:pPr>
            <w:r>
              <w:rPr>
                <w:sz w:val="16"/>
              </w:rPr>
              <w:t xml:space="preserve">0.17</w:t>
            </w:r>
          </w:p>
        </w:tc>
        <w:tc>
          <w:tcPr>
            <w:tcW w:w="1432" w:type="dxa"/>
          </w:tcPr>
          <w:p>
            <w:pPr>
              <w:pStyle w:val="Compact"/>
              <w:keepLines/>
              <w:jc w:val="right"/>
            </w:pPr>
            <w:r>
              <w:rPr>
                <w:sz w:val="16"/>
              </w:rPr>
              <w:t xml:space="preserve">12.44</w:t>
            </w:r>
          </w:p>
        </w:tc>
        <w:tc>
          <w:tcPr>
            <w:tcW w:w="1551" w:type="dxa"/>
          </w:tcPr>
          <w:p>
            <w:pPr>
              <w:pStyle w:val="Compact"/>
              <w:keepLines/>
              <w:jc w:val="right"/>
            </w:pPr>
            <w:r>
              <w:rPr>
                <w:sz w:val="16"/>
              </w:rPr>
              <w:t xml:space="preserve">4.14</w:t>
            </w:r>
          </w:p>
        </w:tc>
        <w:tc>
          <w:tcPr>
            <w:tcW w:w="1670" w:type="dxa"/>
          </w:tcPr>
          <w:p>
            <w:pPr>
              <w:pStyle w:val="Compact"/>
              <w:keepLines/>
              <w:jc w:val="right"/>
            </w:pPr>
            <w:r>
              <w:rPr>
                <w:sz w:val="16"/>
              </w:rPr>
              <w:t xml:space="preserve">13.80</w:t>
            </w:r>
          </w:p>
        </w:tc>
      </w:tr>
      <w:tr>
        <w:trPr>
          <w:cantSplit w:val="true"/>
        </w:trPr>
        <w:tc>
          <w:tcPr>
            <w:tcW w:w="1312" w:type="dxa"/>
          </w:tcPr>
          <w:p>
            <w:pPr>
              <w:pStyle w:val="Compact"/>
              <w:keepLines/>
              <w:jc w:val="left"/>
            </w:pPr>
            <w:r>
              <w:rPr>
                <w:sz w:val="16"/>
              </w:rPr>
              <w:t xml:space="preserve">Voice, age, sex (18)</w:t>
            </w:r>
          </w:p>
        </w:tc>
        <w:tc>
          <w:tcPr>
            <w:tcW w:w="835" w:type="dxa"/>
          </w:tcPr>
          <w:p>
            <w:pPr>
              <w:pStyle w:val="Compact"/>
              <w:keepLines/>
              <w:jc w:val="right"/>
            </w:pPr>
            <w:r>
              <w:rPr>
                <w:sz w:val="16"/>
              </w:rPr>
              <w:t xml:space="preserve">9.78</w:t>
            </w:r>
          </w:p>
        </w:tc>
        <w:tc>
          <w:tcPr>
            <w:tcW w:w="954" w:type="dxa"/>
          </w:tcPr>
          <w:p>
            <w:pPr>
              <w:pStyle w:val="Compact"/>
              <w:keepLines/>
              <w:jc w:val="right"/>
            </w:pPr>
            <w:r>
              <w:rPr>
                <w:sz w:val="16"/>
              </w:rPr>
              <w:t xml:space="preserve">11.79</w:t>
            </w:r>
          </w:p>
        </w:tc>
        <w:tc>
          <w:tcPr>
            <w:tcW w:w="1312" w:type="dxa"/>
          </w:tcPr>
          <w:p>
            <w:pPr>
              <w:pStyle w:val="Compact"/>
              <w:keepLines/>
              <w:jc w:val="right"/>
            </w:pPr>
            <w:r>
              <w:rPr>
                <w:sz w:val="16"/>
              </w:rPr>
              <w:t xml:space="preserve">3.59</w:t>
            </w:r>
          </w:p>
        </w:tc>
        <w:tc>
          <w:tcPr>
            <w:tcW w:w="1432" w:type="dxa"/>
          </w:tcPr>
          <w:p>
            <w:pPr>
              <w:pStyle w:val="Compact"/>
              <w:keepLines/>
              <w:jc w:val="right"/>
            </w:pPr>
            <w:r>
              <w:rPr>
                <w:sz w:val="16"/>
              </w:rPr>
              <w:t xml:space="preserve">12.85</w:t>
            </w:r>
          </w:p>
        </w:tc>
        <w:tc>
          <w:tcPr>
            <w:tcW w:w="1551" w:type="dxa"/>
          </w:tcPr>
          <w:p>
            <w:pPr>
              <w:pStyle w:val="Compact"/>
              <w:keepLines/>
              <w:jc w:val="right"/>
            </w:pPr>
            <w:r>
              <w:rPr>
                <w:sz w:val="16"/>
              </w:rPr>
              <w:t xml:space="preserve">4.25</w:t>
            </w:r>
          </w:p>
        </w:tc>
        <w:tc>
          <w:tcPr>
            <w:tcW w:w="1670" w:type="dxa"/>
          </w:tcPr>
          <w:p>
            <w:pPr>
              <w:pStyle w:val="Compact"/>
              <w:keepLines/>
              <w:jc w:val="right"/>
            </w:pPr>
            <w:r>
              <w:rPr>
                <w:sz w:val="16"/>
              </w:rPr>
              <w:t xml:space="preserve">13.77</w:t>
            </w:r>
          </w:p>
        </w:tc>
      </w:tr>
      <w:tr>
        <w:trPr>
          <w:cantSplit w:val="true"/>
        </w:trPr>
        <w:tc>
          <w:tcPr>
            <w:tcW w:w="1312" w:type="dxa"/>
          </w:tcPr>
          <w:p>
            <w:pPr>
              <w:pStyle w:val="Compact"/>
              <w:keepLines/>
              <w:jc w:val="left"/>
            </w:pPr>
            <w:r>
              <w:rPr>
                <w:sz w:val="16"/>
              </w:rPr>
              <w:t xml:space="preserve">All 19 features (19)</w:t>
            </w:r>
          </w:p>
        </w:tc>
        <w:tc>
          <w:tcPr>
            <w:tcW w:w="835" w:type="dxa"/>
          </w:tcPr>
          <w:p>
            <w:pPr>
              <w:pStyle w:val="Compact"/>
              <w:keepLines/>
              <w:jc w:val="right"/>
            </w:pPr>
            <w:r>
              <w:rPr>
                <w:sz w:val="16"/>
              </w:rPr>
              <w:t xml:space="preserve">9.74</w:t>
            </w:r>
          </w:p>
        </w:tc>
        <w:tc>
          <w:tcPr>
            <w:tcW w:w="954" w:type="dxa"/>
          </w:tcPr>
          <w:p>
            <w:pPr>
              <w:pStyle w:val="Compact"/>
              <w:keepLines/>
              <w:jc w:val="right"/>
            </w:pPr>
            <w:r>
              <w:rPr>
                <w:sz w:val="16"/>
              </w:rPr>
              <w:t xml:space="preserve">11.79</w:t>
            </w:r>
          </w:p>
        </w:tc>
        <w:tc>
          <w:tcPr>
            <w:tcW w:w="1312" w:type="dxa"/>
          </w:tcPr>
          <w:p>
            <w:pPr>
              <w:pStyle w:val="Compact"/>
              <w:keepLines/>
              <w:jc w:val="right"/>
            </w:pPr>
            <w:r>
              <w:rPr>
                <w:sz w:val="16"/>
              </w:rPr>
              <w:t xml:space="preserve">2.96</w:t>
            </w:r>
          </w:p>
        </w:tc>
        <w:tc>
          <w:tcPr>
            <w:tcW w:w="1432" w:type="dxa"/>
          </w:tcPr>
          <w:p>
            <w:pPr>
              <w:pStyle w:val="Compact"/>
              <w:keepLines/>
              <w:jc w:val="right"/>
            </w:pPr>
            <w:r>
              <w:rPr>
                <w:sz w:val="16"/>
              </w:rPr>
              <w:t xml:space="preserve">12.82</w:t>
            </w:r>
          </w:p>
        </w:tc>
        <w:tc>
          <w:tcPr>
            <w:tcW w:w="1551" w:type="dxa"/>
          </w:tcPr>
          <w:p>
            <w:pPr>
              <w:pStyle w:val="Compact"/>
              <w:keepLines/>
              <w:jc w:val="right"/>
            </w:pPr>
            <w:r>
              <w:rPr>
                <w:sz w:val="16"/>
              </w:rPr>
              <w:t xml:space="preserve">3.92</w:t>
            </w:r>
          </w:p>
        </w:tc>
        <w:tc>
          <w:tcPr>
            <w:tcW w:w="1670" w:type="dxa"/>
          </w:tcPr>
          <w:p>
            <w:pPr>
              <w:pStyle w:val="Compact"/>
              <w:keepLines/>
              <w:jc w:val="right"/>
            </w:pPr>
            <w:r>
              <w:rPr>
                <w:sz w:val="16"/>
              </w:rPr>
              <w:t xml:space="preserve">13.90</w:t>
            </w:r>
          </w:p>
        </w:tc>
      </w:tr>
      <w:tr>
        <w:trPr>
          <w:cantSplit w:val="true"/>
        </w:trPr>
        <w:tc>
          <w:tcPr>
            <w:tcW w:w="1312" w:type="dxa"/>
          </w:tcPr>
          <w:p>
            <w:pPr>
              <w:pStyle w:val="Compact"/>
              <w:keepLines/>
              <w:jc w:val="left"/>
            </w:pPr>
            <w:r>
              <w:rPr>
                <w:sz w:val="16"/>
              </w:rPr>
              <w:t xml:space="preserve">Voice, time (17)</w:t>
            </w:r>
          </w:p>
        </w:tc>
        <w:tc>
          <w:tcPr>
            <w:tcW w:w="835" w:type="dxa"/>
          </w:tcPr>
          <w:p>
            <w:pPr>
              <w:pStyle w:val="Compact"/>
              <w:keepLines/>
              <w:jc w:val="right"/>
            </w:pPr>
            <w:r>
              <w:rPr>
                <w:sz w:val="16"/>
              </w:rPr>
              <w:t xml:space="preserve">10.13</w:t>
            </w:r>
          </w:p>
        </w:tc>
        <w:tc>
          <w:tcPr>
            <w:tcW w:w="954" w:type="dxa"/>
          </w:tcPr>
          <w:p>
            <w:pPr>
              <w:pStyle w:val="Compact"/>
              <w:keepLines/>
              <w:jc w:val="right"/>
            </w:pPr>
            <w:r>
              <w:rPr>
                <w:sz w:val="16"/>
              </w:rPr>
              <w:t xml:space="preserve">11.27</w:t>
            </w:r>
          </w:p>
        </w:tc>
        <w:tc>
          <w:tcPr>
            <w:tcW w:w="1312" w:type="dxa"/>
          </w:tcPr>
          <w:p>
            <w:pPr>
              <w:pStyle w:val="Compact"/>
              <w:keepLines/>
              <w:jc w:val="right"/>
            </w:pPr>
            <w:r>
              <w:rPr>
                <w:sz w:val="16"/>
              </w:rPr>
              <w:t xml:space="preserve">8.14</w:t>
            </w:r>
          </w:p>
        </w:tc>
        <w:tc>
          <w:tcPr>
            <w:tcW w:w="1432" w:type="dxa"/>
          </w:tcPr>
          <w:p>
            <w:pPr>
              <w:pStyle w:val="Compact"/>
              <w:keepLines/>
              <w:jc w:val="right"/>
            </w:pPr>
            <w:r>
              <w:rPr>
                <w:sz w:val="16"/>
              </w:rPr>
              <w:t xml:space="preserve">11.59</w:t>
            </w:r>
          </w:p>
        </w:tc>
        <w:tc>
          <w:tcPr>
            <w:tcW w:w="1551" w:type="dxa"/>
          </w:tcPr>
          <w:p>
            <w:pPr>
              <w:pStyle w:val="Compact"/>
              <w:keepLines/>
              <w:jc w:val="right"/>
            </w:pPr>
            <w:r>
              <w:rPr>
                <w:sz w:val="16"/>
              </w:rPr>
              <w:t xml:space="preserve">8.55</w:t>
            </w:r>
          </w:p>
        </w:tc>
        <w:tc>
          <w:tcPr>
            <w:tcW w:w="1670" w:type="dxa"/>
          </w:tcPr>
          <w:p>
            <w:pPr>
              <w:pStyle w:val="Compact"/>
              <w:keepLines/>
              <w:jc w:val="right"/>
            </w:pPr>
            <w:r>
              <w:rPr>
                <w:sz w:val="16"/>
              </w:rPr>
              <w:t xml:space="preserve">11.69</w:t>
            </w:r>
          </w:p>
        </w:tc>
      </w:tr>
      <w:tr>
        <w:trPr>
          <w:cantSplit w:val="true"/>
        </w:trPr>
        <w:tc>
          <w:tcPr>
            <w:tcW w:w="1312" w:type="dxa"/>
          </w:tcPr>
          <w:p>
            <w:pPr>
              <w:pStyle w:val="Compact"/>
              <w:keepLines/>
              <w:jc w:val="left"/>
            </w:pPr>
            <w:r>
              <w:rPr>
                <w:sz w:val="16"/>
              </w:rPr>
              <w:t xml:space="preserve">Voice only (16)</w:t>
            </w:r>
          </w:p>
        </w:tc>
        <w:tc>
          <w:tcPr>
            <w:tcW w:w="835" w:type="dxa"/>
          </w:tcPr>
          <w:p>
            <w:pPr>
              <w:pStyle w:val="Compact"/>
              <w:keepLines/>
              <w:jc w:val="right"/>
            </w:pPr>
            <w:r>
              <w:rPr>
                <w:sz w:val="16"/>
              </w:rPr>
              <w:t xml:space="preserve">10.17</w:t>
            </w:r>
          </w:p>
        </w:tc>
        <w:tc>
          <w:tcPr>
            <w:tcW w:w="954" w:type="dxa"/>
          </w:tcPr>
          <w:p>
            <w:pPr>
              <w:pStyle w:val="Compact"/>
              <w:keepLines/>
              <w:jc w:val="right"/>
            </w:pPr>
            <w:r>
              <w:rPr>
                <w:sz w:val="16"/>
              </w:rPr>
              <w:t xml:space="preserve">11.28</w:t>
            </w:r>
          </w:p>
        </w:tc>
        <w:tc>
          <w:tcPr>
            <w:tcW w:w="1312" w:type="dxa"/>
          </w:tcPr>
          <w:p>
            <w:pPr>
              <w:pStyle w:val="Compact"/>
              <w:keepLines/>
              <w:jc w:val="right"/>
            </w:pPr>
            <w:r>
              <w:rPr>
                <w:sz w:val="16"/>
              </w:rPr>
              <w:t xml:space="preserve">8.37</w:t>
            </w:r>
          </w:p>
        </w:tc>
        <w:tc>
          <w:tcPr>
            <w:tcW w:w="1432" w:type="dxa"/>
          </w:tcPr>
          <w:p>
            <w:pPr>
              <w:pStyle w:val="Compact"/>
              <w:keepLines/>
              <w:jc w:val="right"/>
            </w:pPr>
            <w:r>
              <w:rPr>
                <w:sz w:val="16"/>
              </w:rPr>
              <w:t xml:space="preserve">11.69</w:t>
            </w:r>
          </w:p>
        </w:tc>
        <w:tc>
          <w:tcPr>
            <w:tcW w:w="1551" w:type="dxa"/>
          </w:tcPr>
          <w:p>
            <w:pPr>
              <w:pStyle w:val="Compact"/>
              <w:keepLines/>
              <w:jc w:val="right"/>
            </w:pPr>
            <w:r>
              <w:rPr>
                <w:sz w:val="16"/>
              </w:rPr>
              <w:t xml:space="preserve">8.99</w:t>
            </w:r>
          </w:p>
        </w:tc>
        <w:tc>
          <w:tcPr>
            <w:tcW w:w="1670" w:type="dxa"/>
          </w:tcPr>
          <w:p>
            <w:pPr>
              <w:pStyle w:val="Compact"/>
              <w:keepLines/>
              <w:jc w:val="right"/>
            </w:pPr>
            <w:r>
              <w:rPr>
                <w:sz w:val="16"/>
              </w:rPr>
              <w:t xml:space="preserve">11.84</w:t>
            </w:r>
          </w:p>
        </w:tc>
      </w:tr>
    </w:tbl>
    <w:p>
      <w:pPr>
        <w:pStyle w:val="BodyText"/>
      </w:pPr>
      <w:r>
        <w:t xml:space="preserve">The three attributes that contain no voice information, age, sex and</w:t>
      </w:r>
      <w:r>
        <w:t xml:space="preserve"> </w:t>
      </w:r>
      <w:r>
        <w:rPr>
          <w:rStyle w:val="VerbatimChar"/>
        </w:rPr>
        <w:t xml:space="preserve">test_time</w:t>
      </w:r>
      <w:r>
        <w:t xml:space="preserve">, are sufficient for a random forest to reach an RMSE of 0.17 under random splitting, which corresponds to a coefficient of determination of 0.9997, and on new patients the same model has an RMSE of 12.44, worse than the training mean. These attributes identify the patient (age and sex) and locate the recording on that patient’s trajectory (time), so that a model with other recordings of the same patient in the training set can interpolate in time. When the 16 voice measures are used alone, the random-split RMSE is 8.4 for the random forest and 9.0 for gradient boosting, a modest skill relative to the training mean (skill scores 0.39 and 0.29 for the forest and boosting) which is plausible for noisy speech features, and the inflation is small (1.4 and 1.3), because voice measures do not identify patients as precisely. On held-out patients, voice-only models are again no better than the training mean (11.7–11.8 versus 10.9 for the forest and boosting, 11.3 for ridge regression). Adding demographic and temporal attributes to the voice measures cuts the random-split RMSE by more than half (to 3.0–4.3) and leaves the held-out RMSE unchanged or higher. In other words, the high accuracies that are obtainable on this dataset under random splitting come almost entirely from patient-identifying features; the voice measures contribute modest within-patient information and, in this setup, none across patients.</w:t>
      </w:r>
    </w:p>
    <w:bookmarkEnd w:id="72"/>
    <w:bookmarkStart w:id="76" w:name="per-patient-skill"/>
    <w:p>
      <w:pPr>
        <w:pStyle w:val="Heading3"/>
      </w:pPr>
      <w:r>
        <w:rPr>
          <w:rStyle w:val="SectionNumber"/>
        </w:rPr>
        <w:t xml:space="preserve">6.3.2</w:t>
      </w:r>
      <w:r>
        <w:tab/>
      </w:r>
      <w:r>
        <w:t xml:space="preserve">Per-patient skill</w:t>
      </w:r>
    </w:p>
    <w:p>
      <w:pPr>
        <w:pStyle w:val="FirstParagraph"/>
      </w:pPr>
      <w:r>
        <w:t xml:space="preserve">Fig. 8b compares the RMSE of ridge regression and gradient boosting with that of the training-mean predictor for each of the 42 held-out patients (all 19 features, fixed hyper-parameters). Models are better than the baseline for only 18 (ridge), 17 (random forest) and 16 (gradient boosting) of the 42 patients, with median ratios of model RMSE to baseline RMSE of 1.08, 1.20 and 1.25. The per-patient RMSE of the models ranges from about 1.5 to 30 UPDRS points, and for a few patients it exceeds 25 points. The decomposition in Fig. 8c shows that 89–94% of the squared error of the models is a patient-level offset, that is, the mean error over the recordings of a patient. This is not an artefact of the models: the training-mean predictor has the same property by construction, since 93% of the variance of total UPDRS lies between patients (Fig. 2d). What the decomposition shows is that the models do not reduce the patient-level error, which is the dominant component, and that whatever voice information they use acts on the within-patient component.</w:t>
      </w:r>
    </w:p>
    <w:p>
      <w:pPr>
        <w:pStyle w:val="CaptionedFigure"/>
        <w:keepNext/>
        <w:spacing w:before="120"/>
        <w:jc w:val="center"/>
      </w:pPr>
      <w:r>
        <w:drawing>
          <wp:inline>
            <wp:extent cx="5753100" cy="2332337"/>
            <wp:effectExtent b="0" l="0" r="0" t="0"/>
            <wp:docPr descr="Fig. 8. Parkinson’s telemonitoring, total UPDRS. (a) RMSE of a random forest under random and patient-held-out evaluation for different feature sets; the dotted line is the training-mean predictor under patient-held-out evaluation. (b) RMSE of each of the 42 held-out patients for ridge regression and gradient boosting versus the RMSE of the training-mean predictor; points below the diagonal are patients for whom the model is better than the baseline. (c) Share of the squared held-out error that is a patient-level mean error." title="" id="74" name="Picture"/>
            <a:graphic>
              <a:graphicData uri="http://schemas.openxmlformats.org/drawingml/2006/picture">
                <pic:pic>
                  <pic:nvPicPr>
                    <pic:cNvPr descr="../figures/paper/fig08_parkinsons_skill.png" id="75" name="Picture"/>
                    <pic:cNvPicPr>
                      <a:picLocks noChangeArrowheads="1" noChangeAspect="1"/>
                    </pic:cNvPicPr>
                  </pic:nvPicPr>
                  <pic:blipFill>
                    <a:blip r:embed="rId73"/>
                    <a:stretch>
                      <a:fillRect/>
                    </a:stretch>
                  </pic:blipFill>
                  <pic:spPr bwMode="auto">
                    <a:xfrm>
                      <a:off x="0" y="0"/>
                      <a:ext cx="5753100" cy="2332337"/>
                    </a:xfrm>
                    <a:prstGeom prst="rect">
                      <a:avLst/>
                    </a:prstGeom>
                    <a:noFill/>
                    <a:ln w="9525">
                      <a:noFill/>
                      <a:headEnd/>
                      <a:tailEnd/>
                    </a:ln>
                  </pic:spPr>
                </pic:pic>
              </a:graphicData>
            </a:graphic>
          </wp:inline>
        </w:drawing>
      </w:r>
    </w:p>
    <w:p>
      <w:pPr>
        <w:pStyle w:val="ImageCaption"/>
      </w:pPr>
      <w:r>
        <w:t xml:space="preserve">Fig. 8. Parkinson’s telemonitoring, total UPDRS. (a) RMSE of a random forest under random and patient-held-out evaluation for different feature sets; the dotted line is the training-mean predictor under patient-held-out evaluation. (b) RMSE of each of the 42 held-out patients for ridge regression and gradient boosting versus the RMSE of the training-mean predictor; points below the diagonal are patients for whom the model is better than the baseline. (c) Share of the squared held-out error that is a patient-level mean error.</w:t>
      </w:r>
    </w:p>
    <w:bookmarkEnd w:id="76"/>
    <w:bookmarkStart w:id="80" w:name="Xeb2d5d6efe5cbbded053ab4ed22302410a79d20"/>
    <w:p>
      <w:pPr>
        <w:pStyle w:val="Heading3"/>
      </w:pPr>
      <w:r>
        <w:rPr>
          <w:rStyle w:val="SectionNumber"/>
        </w:rPr>
        <w:t xml:space="preserve">6.3.3</w:t>
      </w:r>
      <w:r>
        <w:tab/>
      </w:r>
      <w:r>
        <w:t xml:space="preserve">Calibration with recordings of a new patient</w:t>
      </w:r>
    </w:p>
    <w:p>
      <w:pPr>
        <w:pStyle w:val="FirstParagraph"/>
      </w:pPr>
      <w:r>
        <w:t xml:space="preserve">The error of the models on held-out patients is dominated by a patient-level offset, so one may ask whether a few labelled recordings of a new patient can correct it. We tested this by giving each held-out patient’s model the first</w:t>
      </w:r>
      <w:r>
        <w:t xml:space="preserve"> </w:t>
      </w:r>
      <m:oMath>
        <m:r>
          <m:t>n</m:t>
        </m:r>
        <m:r>
          <m:rPr>
            <m:sty m:val="p"/>
          </m:rPr>
          <m:t>∈</m:t>
        </m:r>
        <m:r>
          <m:rPr>
            <m:sty m:val="p"/>
          </m:rPr>
          <m:t>{</m:t>
        </m:r>
        <m:r>
          <m:t>5</m:t>
        </m:r>
        <m:r>
          <m:rPr>
            <m:sty m:val="p"/>
          </m:rPr>
          <m:t>,</m:t>
        </m:r>
        <m:r>
          <m:t>10</m:t>
        </m:r>
        <m:r>
          <m:rPr>
            <m:sty m:val="p"/>
          </m:rPr>
          <m:t>,</m:t>
        </m:r>
        <m:r>
          <m:t>20</m:t>
        </m:r>
        <m:r>
          <m:rPr>
            <m:sty m:val="p"/>
          </m:rPr>
          <m:t>,</m:t>
        </m:r>
        <m:r>
          <m:t>40</m:t>
        </m:r>
        <m:r>
          <m:rPr>
            <m:sty m:val="p"/>
          </m:rPr>
          <m:t>}</m:t>
        </m:r>
      </m:oMath>
      <w:r>
        <w:t xml:space="preserve"> </w:t>
      </w:r>
      <w:r>
        <w:t xml:space="preserve">recordings (by recruitment day) with their UPDRS scores and evaluating on the patient’s later recordings (all recordings after the first 40, a fixed evaluation set of 61 or more recordings per patient). Two ways of using the calibration recordings were compared: an</w:t>
      </w:r>
      <w:r>
        <w:t xml:space="preserve"> </w:t>
      </w:r>
      <w:r>
        <w:rPr>
          <w:i/>
          <w:iCs/>
        </w:rPr>
        <w:t xml:space="preserve">offset correction</w:t>
      </w:r>
      <w:r>
        <w:t xml:space="preserve">, which adds the mean error of the model on the</w:t>
      </w:r>
      <w:r>
        <w:t xml:space="preserve"> </w:t>
      </w:r>
      <m:oMath>
        <m:r>
          <m:t>n</m:t>
        </m:r>
      </m:oMath>
      <w:r>
        <w:t xml:space="preserve"> </w:t>
      </w:r>
      <w:r>
        <w:t xml:space="preserve">recordings to its later predictions, and a</w:t>
      </w:r>
      <w:r>
        <w:t xml:space="preserve"> </w:t>
      </w:r>
      <w:r>
        <w:rPr>
          <w:i/>
          <w:iCs/>
        </w:rPr>
        <w:t xml:space="preserve">weighted retraining</w:t>
      </w:r>
      <w:r>
        <w:t xml:space="preserve"> </w:t>
      </w:r>
      <w:r>
        <w:t xml:space="preserve">of gradient boosting on the training patients plus the</w:t>
      </w:r>
      <w:r>
        <w:t xml:space="preserve"> </w:t>
      </w:r>
      <m:oMath>
        <m:r>
          <m:t>n</m:t>
        </m:r>
      </m:oMath>
      <w:r>
        <w:t xml:space="preserve"> </w:t>
      </w:r>
      <w:r>
        <w:t xml:space="preserve">recordings with weight 20. As a fair reference we added a model-free predictor, the patient’s own running mean over the same</w:t>
      </w:r>
      <w:r>
        <w:t xml:space="preserve"> </w:t>
      </w:r>
      <m:oMath>
        <m:r>
          <m:t>n</m:t>
        </m:r>
      </m:oMath>
      <w:r>
        <w:t xml:space="preserve"> </w:t>
      </w:r>
      <w:r>
        <w:t xml:space="preserve">recordings (Fig. 9).</w:t>
      </w:r>
    </w:p>
    <w:p>
      <w:pPr>
        <w:pStyle w:val="CaptionedFigure"/>
        <w:keepNext/>
        <w:spacing w:before="120"/>
        <w:jc w:val="center"/>
      </w:pPr>
      <w:r>
        <w:drawing>
          <wp:inline>
            <wp:extent cx="4389120" cy="3108959"/>
            <wp:effectExtent b="0" l="0" r="0" t="0"/>
            <wp:docPr descr="Fig. 9. Calibration with recordings of a new patient (Parkinson’s total UPDRS, 42 held-out patients). RMSE on the patient’s recordings after the first 40, as a function of the number n of labelled calibration recordings used. At n=0 the models are the patient-held-out models of Section 6.1 and the dashed line is the training mean." title="" id="78" name="Picture"/>
            <a:graphic>
              <a:graphicData uri="http://schemas.openxmlformats.org/drawingml/2006/picture">
                <pic:pic>
                  <pic:nvPicPr>
                    <pic:cNvPr descr="../figures/paper/fig09_personalisation.png" id="79" name="Picture"/>
                    <pic:cNvPicPr>
                      <a:picLocks noChangeArrowheads="1" noChangeAspect="1"/>
                    </pic:cNvPicPr>
                  </pic:nvPicPr>
                  <pic:blipFill>
                    <a:blip r:embed="rId77"/>
                    <a:stretch>
                      <a:fillRect/>
                    </a:stretch>
                  </pic:blipFill>
                  <pic:spPr bwMode="auto">
                    <a:xfrm>
                      <a:off x="0" y="0"/>
                      <a:ext cx="4389120" cy="3108959"/>
                    </a:xfrm>
                    <a:prstGeom prst="rect">
                      <a:avLst/>
                    </a:prstGeom>
                    <a:noFill/>
                    <a:ln w="9525">
                      <a:noFill/>
                      <a:headEnd/>
                      <a:tailEnd/>
                    </a:ln>
                  </pic:spPr>
                </pic:pic>
              </a:graphicData>
            </a:graphic>
          </wp:inline>
        </w:drawing>
      </w:r>
    </w:p>
    <w:p>
      <w:pPr>
        <w:pStyle w:val="ImageCaption"/>
      </w:pPr>
      <w:r>
        <w:t xml:space="preserve">Fig. 9. Calibration with recordings of a new patient (Parkinson’s total UPDRS, 42 held-out patients). RMSE on the patient’s recordings after the first 40, as a function of the number</w:t>
      </w:r>
      <w:r>
        <w:t xml:space="preserve"> </w:t>
      </w:r>
      <m:oMath>
        <m:r>
          <m:t>n</m:t>
        </m:r>
      </m:oMath>
      <w:r>
        <w:t xml:space="preserve"> </w:t>
      </w:r>
      <w:r>
        <w:t xml:space="preserve">of labelled calibration recordings used. At</w:t>
      </w:r>
      <w:r>
        <w:t xml:space="preserve"> </w:t>
      </w:r>
      <m:oMath>
        <m:r>
          <m:t>n</m:t>
        </m:r>
        <m:r>
          <m:rPr>
            <m:sty m:val="p"/>
          </m:rPr>
          <m:t>=</m:t>
        </m:r>
        <m:r>
          <m:t>0</m:t>
        </m:r>
      </m:oMath>
      <w:r>
        <w:t xml:space="preserve"> </w:t>
      </w:r>
      <w:r>
        <w:t xml:space="preserve">the models are the patient-held-out models of Section 6.1 and the dashed line is the training mean.</w:t>
      </w:r>
    </w:p>
    <w:p>
      <w:pPr>
        <w:pStyle w:val="BodyText"/>
      </w:pPr>
      <w:r>
        <w:t xml:space="preserve">The offset correction removes most of the error: with five calibration recordings the RMSE of gradient boosting falls from 14.0 to 6.4 and that of ridge regression from 11.9 to 6.6 (training-mean predictor 11.1 on the same evaluation recordings), and with 40 recordings to 5.2 for both. Weighted retraining is much less effective (11.1 with five recordings, 6.5 with 40), because a few rows have little influence on a model fitted to thousands. However, the model-free reference is better than every model at every calibration size: the patient’s own running mean gives an RMSE of 5.96, 5.79, 5.47 and 4.80 for</w:t>
      </w:r>
      <w:r>
        <w:t xml:space="preserve"> </w:t>
      </w:r>
      <m:oMath>
        <m:r>
          <m:t>n</m:t>
        </m:r>
        <m:r>
          <m:rPr>
            <m:sty m:val="p"/>
          </m:rPr>
          <m:t>=</m:t>
        </m:r>
        <m:r>
          <m:t>5</m:t>
        </m:r>
        <m:r>
          <m:rPr>
            <m:sty m:val="p"/>
          </m:rPr>
          <m:t>,</m:t>
        </m:r>
        <m:r>
          <m:t>10</m:t>
        </m:r>
        <m:r>
          <m:rPr>
            <m:sty m:val="p"/>
          </m:rPr>
          <m:t>,</m:t>
        </m:r>
        <m:r>
          <m:t>20</m:t>
        </m:r>
        <m:r>
          <m:rPr>
            <m:sty m:val="p"/>
          </m:rPr>
          <m:t>,</m:t>
        </m:r>
        <m:r>
          <m:t>40</m:t>
        </m:r>
      </m:oMath>
      <w:r>
        <w:t xml:space="preserve">, against 6.37, 6.27, 5.87 and 5.20 for gradient boosting with offset correction. In other words, the gain from calibration comes from knowing the patient’s level of disease, not from the voice features, and in this setup the voice-based models add no information beyond that level. This does not exclude that better voice features or longitudinal models could do so; it shows that the standard features with the models tested do not, and that a calibration-based evaluation should always include a model-free reference of this kind.</w:t>
      </w:r>
    </w:p>
    <w:bookmarkEnd w:id="80"/>
    <w:bookmarkEnd w:id="81"/>
    <w:bookmarkStart w:id="85" w:name="Xa8557393a0d378c1bed8fee1787df6ec6ea6324"/>
    <w:p>
      <w:pPr>
        <w:pStyle w:val="Heading2"/>
      </w:pPr>
      <w:r>
        <w:rPr>
          <w:rStyle w:val="SectionNumber"/>
        </w:rPr>
        <w:t xml:space="preserve">6.4</w:t>
      </w:r>
      <w:r>
        <w:tab/>
      </w:r>
      <w:r>
        <w:t xml:space="preserve">Concrete: leakage is concentrated in rows with group-mates</w:t>
      </w:r>
    </w:p>
    <w:p>
      <w:pPr>
        <w:pStyle w:val="FirstParagraph"/>
      </w:pPr>
      <w:r>
        <w:t xml:space="preserve">If the theory is right, leakage should affect a row only if its group has other members. Concrete lets us test this directly because the number of other rows of the same mix varies from 0 to 19. We computed out-of-fold predictions of gradient boosting, random forest and ridge regression under random and group-held-out 10-fold cross-validation (3 repeats, fixed hyper-parameters) and stratified the error by the number of other rows of the same mix (Fig. 10, Table 13).</w:t>
      </w:r>
    </w:p>
    <w:p>
      <w:pPr>
        <w:pStyle w:val="TableCaption"/>
      </w:pPr>
      <w:r>
        <w:t xml:space="preserve">Table 13. Concrete: RMSE (MPa) of out-of-fold predictions stratified by the number of other rows of the same mix (</w:t>
      </w:r>
      <w:r>
        <w:t xml:space="preserve">“group-mates”</w:t>
      </w:r>
      <w:r>
        <w:t xml:space="preserve">), under random and group-held-out 10-fold cross-validation.</w:t>
      </w:r>
    </w:p>
    <w:tbl>
      <w:tblPr>
        <w:tblStyle w:val="Table"/>
        <w:tblW w:w="9071" w:type="dxa"/>
        <w:tblBorders>
          <w:top w:val="single" w:sz="12" w:space="0" w:color="000000"/>
          <w:left w:val="nil"/>
          <w:bottom w:val="single" w:sz="12"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Caption w:val="Table 13. Concrete: RMSE (MPa) of out-of-fold predictions stratified by the number of other rows of the same mix (“group-mates”), under random and group-held-out 10-fold cross-validation."/>
      </w:tblPr>
      <w:tblGrid>
        <w:gridCol w:w="1797"/>
        <w:gridCol w:w="684"/>
        <w:gridCol w:w="1026"/>
        <w:gridCol w:w="1112"/>
        <w:gridCol w:w="941"/>
        <w:gridCol w:w="1026"/>
        <w:gridCol w:w="1198"/>
        <w:gridCol w:w="1283"/>
      </w:tblGrid>
      <w:tr>
        <w:trPr>
          <w:cantSplit w:val="true"/>
          <w:tblHeader w:val="on"/>
          <w:tblHeader w:val="true"/>
        </w:trPr>
        <w:tc>
          <w:tcPr>
            <w:tcW w:w="1797" w:type="dxa"/>
            <w:tcBorders>
              <w:bottom w:val="single" w:sz="6" w:space="0" w:color="000000"/>
            </w:tcBorders>
          </w:tcPr>
          <w:p>
            <w:pPr>
              <w:pStyle w:val="Compact"/>
              <w:keepLines/>
              <w:jc w:val="left"/>
            </w:pPr>
            <w:r>
              <w:rPr>
                <w:b/>
                <w:sz w:val="16"/>
              </w:rPr>
              <w:t xml:space="preserve">Group-mates</w:t>
            </w:r>
          </w:p>
        </w:tc>
        <w:tc>
          <w:tcPr>
            <w:tcW w:w="684" w:type="dxa"/>
            <w:tcBorders>
              <w:bottom w:val="single" w:sz="6" w:space="0" w:color="000000"/>
            </w:tcBorders>
          </w:tcPr>
          <w:p>
            <w:pPr>
              <w:pStyle w:val="Compact"/>
              <w:keepLines/>
              <w:jc w:val="right"/>
            </w:pPr>
            <m:oMath>
              <m:r>
                <m:t>n</m:t>
              </m:r>
            </m:oMath>
            <w:r>
              <w:rPr>
                <w:b/>
                <w:sz w:val="16"/>
              </w:rPr>
              <w:t xml:space="preserve"> </w:t>
            </w:r>
            <w:r>
              <w:rPr>
                <w:b/>
                <w:sz w:val="16"/>
              </w:rPr>
              <w:t xml:space="preserve">rows</w:t>
            </w:r>
          </w:p>
        </w:tc>
        <w:tc>
          <w:tcPr>
            <w:tcW w:w="1026" w:type="dxa"/>
            <w:tcBorders>
              <w:bottom w:val="single" w:sz="6" w:space="0" w:color="000000"/>
            </w:tcBorders>
          </w:tcPr>
          <w:p>
            <w:pPr>
              <w:pStyle w:val="Compact"/>
              <w:keepLines/>
              <w:jc w:val="right"/>
            </w:pPr>
            <w:r>
              <w:rPr>
                <w:b/>
                <w:sz w:val="16"/>
              </w:rPr>
              <w:t xml:space="preserve">GBM random</w:t>
            </w:r>
          </w:p>
        </w:tc>
        <w:tc>
          <w:tcPr>
            <w:tcW w:w="1112" w:type="dxa"/>
            <w:tcBorders>
              <w:bottom w:val="single" w:sz="6" w:space="0" w:color="000000"/>
            </w:tcBorders>
          </w:tcPr>
          <w:p>
            <w:pPr>
              <w:pStyle w:val="Compact"/>
              <w:keepLines/>
              <w:jc w:val="right"/>
            </w:pPr>
            <w:r>
              <w:rPr>
                <w:b/>
                <w:sz w:val="16"/>
              </w:rPr>
              <w:t xml:space="preserve">GBM grouped</w:t>
            </w:r>
          </w:p>
        </w:tc>
        <w:tc>
          <w:tcPr>
            <w:tcW w:w="941" w:type="dxa"/>
            <w:tcBorders>
              <w:bottom w:val="single" w:sz="6" w:space="0" w:color="000000"/>
            </w:tcBorders>
          </w:tcPr>
          <w:p>
            <w:pPr>
              <w:pStyle w:val="Compact"/>
              <w:keepLines/>
              <w:jc w:val="right"/>
            </w:pPr>
            <w:r>
              <w:rPr>
                <w:b/>
                <w:sz w:val="16"/>
              </w:rPr>
              <w:t xml:space="preserve">RF random</w:t>
            </w:r>
          </w:p>
        </w:tc>
        <w:tc>
          <w:tcPr>
            <w:tcW w:w="1026" w:type="dxa"/>
            <w:tcBorders>
              <w:bottom w:val="single" w:sz="6" w:space="0" w:color="000000"/>
            </w:tcBorders>
          </w:tcPr>
          <w:p>
            <w:pPr>
              <w:pStyle w:val="Compact"/>
              <w:keepLines/>
              <w:jc w:val="right"/>
            </w:pPr>
            <w:r>
              <w:rPr>
                <w:b/>
                <w:sz w:val="16"/>
              </w:rPr>
              <w:t xml:space="preserve">RF grouped</w:t>
            </w:r>
          </w:p>
        </w:tc>
        <w:tc>
          <w:tcPr>
            <w:tcW w:w="1198" w:type="dxa"/>
            <w:tcBorders>
              <w:bottom w:val="single" w:sz="6" w:space="0" w:color="000000"/>
            </w:tcBorders>
          </w:tcPr>
          <w:p>
            <w:pPr>
              <w:pStyle w:val="Compact"/>
              <w:keepLines/>
              <w:jc w:val="right"/>
            </w:pPr>
            <w:r>
              <w:rPr>
                <w:b/>
                <w:sz w:val="16"/>
              </w:rPr>
              <w:t xml:space="preserve">Ridge random</w:t>
            </w:r>
          </w:p>
        </w:tc>
        <w:tc>
          <w:tcPr>
            <w:tcW w:w="1283" w:type="dxa"/>
            <w:tcBorders>
              <w:bottom w:val="single" w:sz="6" w:space="0" w:color="000000"/>
            </w:tcBorders>
          </w:tcPr>
          <w:p>
            <w:pPr>
              <w:pStyle w:val="Compact"/>
              <w:keepLines/>
              <w:jc w:val="right"/>
            </w:pPr>
            <w:r>
              <w:rPr>
                <w:b/>
                <w:sz w:val="16"/>
              </w:rPr>
              <w:t xml:space="preserve">Ridge grouped</w:t>
            </w:r>
          </w:p>
        </w:tc>
      </w:tr>
      <w:tr>
        <w:trPr>
          <w:cantSplit w:val="true"/>
        </w:trPr>
        <w:tc>
          <w:tcPr>
            <w:tcW w:w="1797" w:type="dxa"/>
          </w:tcPr>
          <w:p>
            <w:pPr>
              <w:pStyle w:val="Compact"/>
              <w:keepLines/>
              <w:jc w:val="left"/>
            </w:pPr>
            <w:r>
              <w:rPr>
                <w:sz w:val="16"/>
              </w:rPr>
              <w:t xml:space="preserve">0 (singleton mixes)</w:t>
            </w:r>
          </w:p>
        </w:tc>
        <w:tc>
          <w:tcPr>
            <w:tcW w:w="684" w:type="dxa"/>
          </w:tcPr>
          <w:p>
            <w:pPr>
              <w:pStyle w:val="Compact"/>
              <w:keepLines/>
              <w:jc w:val="right"/>
            </w:pPr>
            <w:r>
              <w:rPr>
                <w:sz w:val="16"/>
              </w:rPr>
              <w:t xml:space="preserve">246</w:t>
            </w:r>
          </w:p>
        </w:tc>
        <w:tc>
          <w:tcPr>
            <w:tcW w:w="1026" w:type="dxa"/>
          </w:tcPr>
          <w:p>
            <w:pPr>
              <w:pStyle w:val="Compact"/>
              <w:keepLines/>
              <w:jc w:val="right"/>
            </w:pPr>
            <w:r>
              <w:rPr>
                <w:sz w:val="16"/>
              </w:rPr>
              <w:t xml:space="preserve">5.90</w:t>
            </w:r>
          </w:p>
        </w:tc>
        <w:tc>
          <w:tcPr>
            <w:tcW w:w="1112" w:type="dxa"/>
          </w:tcPr>
          <w:p>
            <w:pPr>
              <w:pStyle w:val="Compact"/>
              <w:keepLines/>
              <w:jc w:val="right"/>
            </w:pPr>
            <w:r>
              <w:rPr>
                <w:sz w:val="16"/>
              </w:rPr>
              <w:t xml:space="preserve">5.74</w:t>
            </w:r>
          </w:p>
        </w:tc>
        <w:tc>
          <w:tcPr>
            <w:tcW w:w="941" w:type="dxa"/>
          </w:tcPr>
          <w:p>
            <w:pPr>
              <w:pStyle w:val="Compact"/>
              <w:keepLines/>
              <w:jc w:val="right"/>
            </w:pPr>
            <w:r>
              <w:rPr>
                <w:sz w:val="16"/>
              </w:rPr>
              <w:t xml:space="preserve">5.50</w:t>
            </w:r>
          </w:p>
        </w:tc>
        <w:tc>
          <w:tcPr>
            <w:tcW w:w="1026" w:type="dxa"/>
          </w:tcPr>
          <w:p>
            <w:pPr>
              <w:pStyle w:val="Compact"/>
              <w:keepLines/>
              <w:jc w:val="right"/>
            </w:pPr>
            <w:r>
              <w:rPr>
                <w:sz w:val="16"/>
              </w:rPr>
              <w:t xml:space="preserve">5.33</w:t>
            </w:r>
          </w:p>
        </w:tc>
        <w:tc>
          <w:tcPr>
            <w:tcW w:w="1198" w:type="dxa"/>
          </w:tcPr>
          <w:p>
            <w:pPr>
              <w:pStyle w:val="Compact"/>
              <w:keepLines/>
              <w:jc w:val="right"/>
            </w:pPr>
            <w:r>
              <w:rPr>
                <w:sz w:val="16"/>
              </w:rPr>
              <w:t xml:space="preserve">9.06</w:t>
            </w:r>
          </w:p>
        </w:tc>
        <w:tc>
          <w:tcPr>
            <w:tcW w:w="1283" w:type="dxa"/>
          </w:tcPr>
          <w:p>
            <w:pPr>
              <w:pStyle w:val="Compact"/>
              <w:keepLines/>
              <w:jc w:val="right"/>
            </w:pPr>
            <w:r>
              <w:rPr>
                <w:sz w:val="16"/>
              </w:rPr>
              <w:t xml:space="preserve">9.08</w:t>
            </w:r>
          </w:p>
        </w:tc>
      </w:tr>
      <w:tr>
        <w:trPr>
          <w:cantSplit w:val="true"/>
        </w:trPr>
        <w:tc>
          <w:tcPr>
            <w:tcW w:w="1797" w:type="dxa"/>
          </w:tcPr>
          <w:p>
            <w:pPr>
              <w:pStyle w:val="Compact"/>
              <w:keepLines/>
              <w:jc w:val="left"/>
            </w:pPr>
            <w:r>
              <w:rPr>
                <w:sz w:val="16"/>
              </w:rPr>
              <w:t xml:space="preserve">1–2</w:t>
            </w:r>
          </w:p>
        </w:tc>
        <w:tc>
          <w:tcPr>
            <w:tcW w:w="684" w:type="dxa"/>
          </w:tcPr>
          <w:p>
            <w:pPr>
              <w:pStyle w:val="Compact"/>
              <w:keepLines/>
              <w:jc w:val="right"/>
            </w:pPr>
            <w:r>
              <w:rPr>
                <w:sz w:val="16"/>
              </w:rPr>
              <w:t xml:space="preserve">106</w:t>
            </w:r>
          </w:p>
        </w:tc>
        <w:tc>
          <w:tcPr>
            <w:tcW w:w="1026" w:type="dxa"/>
          </w:tcPr>
          <w:p>
            <w:pPr>
              <w:pStyle w:val="Compact"/>
              <w:keepLines/>
              <w:jc w:val="right"/>
            </w:pPr>
            <w:r>
              <w:rPr>
                <w:sz w:val="16"/>
              </w:rPr>
              <w:t xml:space="preserve">3.85</w:t>
            </w:r>
          </w:p>
        </w:tc>
        <w:tc>
          <w:tcPr>
            <w:tcW w:w="1112" w:type="dxa"/>
          </w:tcPr>
          <w:p>
            <w:pPr>
              <w:pStyle w:val="Compact"/>
              <w:keepLines/>
              <w:jc w:val="right"/>
            </w:pPr>
            <w:r>
              <w:rPr>
                <w:sz w:val="16"/>
              </w:rPr>
              <w:t xml:space="preserve">4.14</w:t>
            </w:r>
          </w:p>
        </w:tc>
        <w:tc>
          <w:tcPr>
            <w:tcW w:w="941" w:type="dxa"/>
          </w:tcPr>
          <w:p>
            <w:pPr>
              <w:pStyle w:val="Compact"/>
              <w:keepLines/>
              <w:jc w:val="right"/>
            </w:pPr>
            <w:r>
              <w:rPr>
                <w:sz w:val="16"/>
              </w:rPr>
              <w:t xml:space="preserve">3.71</w:t>
            </w:r>
          </w:p>
        </w:tc>
        <w:tc>
          <w:tcPr>
            <w:tcW w:w="1026" w:type="dxa"/>
          </w:tcPr>
          <w:p>
            <w:pPr>
              <w:pStyle w:val="Compact"/>
              <w:keepLines/>
              <w:jc w:val="right"/>
            </w:pPr>
            <w:r>
              <w:rPr>
                <w:sz w:val="16"/>
              </w:rPr>
              <w:t xml:space="preserve">3.99</w:t>
            </w:r>
          </w:p>
        </w:tc>
        <w:tc>
          <w:tcPr>
            <w:tcW w:w="1198" w:type="dxa"/>
          </w:tcPr>
          <w:p>
            <w:pPr>
              <w:pStyle w:val="Compact"/>
              <w:keepLines/>
              <w:jc w:val="right"/>
            </w:pPr>
            <w:r>
              <w:rPr>
                <w:sz w:val="16"/>
              </w:rPr>
              <w:t xml:space="preserve">8.67</w:t>
            </w:r>
          </w:p>
        </w:tc>
        <w:tc>
          <w:tcPr>
            <w:tcW w:w="1283" w:type="dxa"/>
          </w:tcPr>
          <w:p>
            <w:pPr>
              <w:pStyle w:val="Compact"/>
              <w:keepLines/>
              <w:jc w:val="right"/>
            </w:pPr>
            <w:r>
              <w:rPr>
                <w:sz w:val="16"/>
              </w:rPr>
              <w:t xml:space="preserve">8.67</w:t>
            </w:r>
          </w:p>
        </w:tc>
      </w:tr>
      <w:tr>
        <w:trPr>
          <w:cantSplit w:val="true"/>
        </w:trPr>
        <w:tc>
          <w:tcPr>
            <w:tcW w:w="1797" w:type="dxa"/>
          </w:tcPr>
          <w:p>
            <w:pPr>
              <w:pStyle w:val="Compact"/>
              <w:keepLines/>
              <w:jc w:val="left"/>
            </w:pPr>
            <w:r>
              <w:rPr>
                <w:sz w:val="16"/>
              </w:rPr>
              <w:t xml:space="preserve">3–5</w:t>
            </w:r>
          </w:p>
        </w:tc>
        <w:tc>
          <w:tcPr>
            <w:tcW w:w="684" w:type="dxa"/>
          </w:tcPr>
          <w:p>
            <w:pPr>
              <w:pStyle w:val="Compact"/>
              <w:keepLines/>
              <w:jc w:val="right"/>
            </w:pPr>
            <w:r>
              <w:rPr>
                <w:sz w:val="16"/>
              </w:rPr>
              <w:t xml:space="preserve">594</w:t>
            </w:r>
          </w:p>
        </w:tc>
        <w:tc>
          <w:tcPr>
            <w:tcW w:w="1026" w:type="dxa"/>
          </w:tcPr>
          <w:p>
            <w:pPr>
              <w:pStyle w:val="Compact"/>
              <w:keepLines/>
              <w:jc w:val="right"/>
            </w:pPr>
            <w:r>
              <w:rPr>
                <w:sz w:val="16"/>
              </w:rPr>
              <w:t xml:space="preserve">3.83</w:t>
            </w:r>
          </w:p>
        </w:tc>
        <w:tc>
          <w:tcPr>
            <w:tcW w:w="1112" w:type="dxa"/>
          </w:tcPr>
          <w:p>
            <w:pPr>
              <w:pStyle w:val="Compact"/>
              <w:keepLines/>
              <w:jc w:val="right"/>
            </w:pPr>
            <w:r>
              <w:rPr>
                <w:sz w:val="16"/>
              </w:rPr>
              <w:t xml:space="preserve">5.84</w:t>
            </w:r>
          </w:p>
        </w:tc>
        <w:tc>
          <w:tcPr>
            <w:tcW w:w="941" w:type="dxa"/>
          </w:tcPr>
          <w:p>
            <w:pPr>
              <w:pStyle w:val="Compact"/>
              <w:keepLines/>
              <w:jc w:val="right"/>
            </w:pPr>
            <w:r>
              <w:rPr>
                <w:sz w:val="16"/>
              </w:rPr>
              <w:t xml:space="preserve">4.19</w:t>
            </w:r>
          </w:p>
        </w:tc>
        <w:tc>
          <w:tcPr>
            <w:tcW w:w="1026" w:type="dxa"/>
          </w:tcPr>
          <w:p>
            <w:pPr>
              <w:pStyle w:val="Compact"/>
              <w:keepLines/>
              <w:jc w:val="right"/>
            </w:pPr>
            <w:r>
              <w:rPr>
                <w:sz w:val="16"/>
              </w:rPr>
              <w:t xml:space="preserve">5.85</w:t>
            </w:r>
          </w:p>
        </w:tc>
        <w:tc>
          <w:tcPr>
            <w:tcW w:w="1198" w:type="dxa"/>
          </w:tcPr>
          <w:p>
            <w:pPr>
              <w:pStyle w:val="Compact"/>
              <w:keepLines/>
              <w:jc w:val="right"/>
            </w:pPr>
            <w:r>
              <w:rPr>
                <w:sz w:val="16"/>
              </w:rPr>
              <w:t xml:space="preserve">10.83</w:t>
            </w:r>
          </w:p>
        </w:tc>
        <w:tc>
          <w:tcPr>
            <w:tcW w:w="1283" w:type="dxa"/>
          </w:tcPr>
          <w:p>
            <w:pPr>
              <w:pStyle w:val="Compact"/>
              <w:keepLines/>
              <w:jc w:val="right"/>
            </w:pPr>
            <w:r>
              <w:rPr>
                <w:sz w:val="16"/>
              </w:rPr>
              <w:t xml:space="preserve">10.93</w:t>
            </w:r>
          </w:p>
        </w:tc>
      </w:tr>
      <w:tr>
        <w:trPr>
          <w:cantSplit w:val="true"/>
        </w:trPr>
        <w:tc>
          <w:tcPr>
            <w:tcW w:w="1797" w:type="dxa"/>
          </w:tcPr>
          <w:p>
            <w:pPr>
              <w:pStyle w:val="Compact"/>
              <w:keepLines/>
              <w:jc w:val="left"/>
            </w:pPr>
            <w:r>
              <w:rPr>
                <w:sz w:val="16"/>
              </w:rPr>
              <w:t xml:space="preserve">6–10</w:t>
            </w:r>
          </w:p>
        </w:tc>
        <w:tc>
          <w:tcPr>
            <w:tcW w:w="684" w:type="dxa"/>
          </w:tcPr>
          <w:p>
            <w:pPr>
              <w:pStyle w:val="Compact"/>
              <w:keepLines/>
              <w:jc w:val="right"/>
            </w:pPr>
            <w:r>
              <w:rPr>
                <w:sz w:val="16"/>
              </w:rPr>
              <w:t xml:space="preserve">37</w:t>
            </w:r>
          </w:p>
        </w:tc>
        <w:tc>
          <w:tcPr>
            <w:tcW w:w="1026" w:type="dxa"/>
          </w:tcPr>
          <w:p>
            <w:pPr>
              <w:pStyle w:val="Compact"/>
              <w:keepLines/>
              <w:jc w:val="right"/>
            </w:pPr>
            <w:r>
              <w:rPr>
                <w:sz w:val="16"/>
              </w:rPr>
              <w:t xml:space="preserve">3.76</w:t>
            </w:r>
          </w:p>
        </w:tc>
        <w:tc>
          <w:tcPr>
            <w:tcW w:w="1112" w:type="dxa"/>
          </w:tcPr>
          <w:p>
            <w:pPr>
              <w:pStyle w:val="Compact"/>
              <w:keepLines/>
              <w:jc w:val="right"/>
            </w:pPr>
            <w:r>
              <w:rPr>
                <w:sz w:val="16"/>
              </w:rPr>
              <w:t xml:space="preserve">5.44</w:t>
            </w:r>
          </w:p>
        </w:tc>
        <w:tc>
          <w:tcPr>
            <w:tcW w:w="941" w:type="dxa"/>
          </w:tcPr>
          <w:p>
            <w:pPr>
              <w:pStyle w:val="Compact"/>
              <w:keepLines/>
              <w:jc w:val="right"/>
            </w:pPr>
            <w:r>
              <w:rPr>
                <w:sz w:val="16"/>
              </w:rPr>
              <w:t xml:space="preserve">4.13</w:t>
            </w:r>
          </w:p>
        </w:tc>
        <w:tc>
          <w:tcPr>
            <w:tcW w:w="1026" w:type="dxa"/>
          </w:tcPr>
          <w:p>
            <w:pPr>
              <w:pStyle w:val="Compact"/>
              <w:keepLines/>
              <w:jc w:val="right"/>
            </w:pPr>
            <w:r>
              <w:rPr>
                <w:sz w:val="16"/>
              </w:rPr>
              <w:t xml:space="preserve">7.55</w:t>
            </w:r>
          </w:p>
        </w:tc>
        <w:tc>
          <w:tcPr>
            <w:tcW w:w="1198" w:type="dxa"/>
          </w:tcPr>
          <w:p>
            <w:pPr>
              <w:pStyle w:val="Compact"/>
              <w:keepLines/>
              <w:jc w:val="right"/>
            </w:pPr>
            <w:r>
              <w:rPr>
                <w:sz w:val="16"/>
              </w:rPr>
              <w:t xml:space="preserve">11.45</w:t>
            </w:r>
          </w:p>
        </w:tc>
        <w:tc>
          <w:tcPr>
            <w:tcW w:w="1283" w:type="dxa"/>
          </w:tcPr>
          <w:p>
            <w:pPr>
              <w:pStyle w:val="Compact"/>
              <w:keepLines/>
              <w:jc w:val="right"/>
            </w:pPr>
            <w:r>
              <w:rPr>
                <w:sz w:val="16"/>
              </w:rPr>
              <w:t xml:space="preserve">11.56</w:t>
            </w:r>
          </w:p>
        </w:tc>
      </w:tr>
      <w:tr>
        <w:trPr>
          <w:cantSplit w:val="true"/>
        </w:trPr>
        <w:tc>
          <w:tcPr>
            <w:tcW w:w="1797" w:type="dxa"/>
          </w:tcPr>
          <w:p>
            <w:pPr>
              <w:pStyle w:val="Compact"/>
              <w:keepLines/>
              <w:jc w:val="left"/>
            </w:pPr>
            <w:r>
              <w:rPr>
                <w:sz w:val="16"/>
              </w:rPr>
              <w:t xml:space="preserve">&gt;10</w:t>
            </w:r>
          </w:p>
        </w:tc>
        <w:tc>
          <w:tcPr>
            <w:tcW w:w="684" w:type="dxa"/>
          </w:tcPr>
          <w:p>
            <w:pPr>
              <w:pStyle w:val="Compact"/>
              <w:keepLines/>
              <w:jc w:val="right"/>
            </w:pPr>
            <w:r>
              <w:rPr>
                <w:sz w:val="16"/>
              </w:rPr>
              <w:t xml:space="preserve">47</w:t>
            </w:r>
          </w:p>
        </w:tc>
        <w:tc>
          <w:tcPr>
            <w:tcW w:w="1026" w:type="dxa"/>
          </w:tcPr>
          <w:p>
            <w:pPr>
              <w:pStyle w:val="Compact"/>
              <w:keepLines/>
              <w:jc w:val="right"/>
            </w:pPr>
            <w:r>
              <w:rPr>
                <w:sz w:val="16"/>
              </w:rPr>
              <w:t xml:space="preserve">5.83</w:t>
            </w:r>
          </w:p>
        </w:tc>
        <w:tc>
          <w:tcPr>
            <w:tcW w:w="1112" w:type="dxa"/>
          </w:tcPr>
          <w:p>
            <w:pPr>
              <w:pStyle w:val="Compact"/>
              <w:keepLines/>
              <w:jc w:val="right"/>
            </w:pPr>
            <w:r>
              <w:rPr>
                <w:sz w:val="16"/>
              </w:rPr>
              <w:t xml:space="preserve">6.46</w:t>
            </w:r>
          </w:p>
        </w:tc>
        <w:tc>
          <w:tcPr>
            <w:tcW w:w="941" w:type="dxa"/>
          </w:tcPr>
          <w:p>
            <w:pPr>
              <w:pStyle w:val="Compact"/>
              <w:keepLines/>
              <w:jc w:val="right"/>
            </w:pPr>
            <w:r>
              <w:rPr>
                <w:sz w:val="16"/>
              </w:rPr>
              <w:t xml:space="preserve">6.39</w:t>
            </w:r>
          </w:p>
        </w:tc>
        <w:tc>
          <w:tcPr>
            <w:tcW w:w="1026" w:type="dxa"/>
          </w:tcPr>
          <w:p>
            <w:pPr>
              <w:pStyle w:val="Compact"/>
              <w:keepLines/>
              <w:jc w:val="right"/>
            </w:pPr>
            <w:r>
              <w:rPr>
                <w:sz w:val="16"/>
              </w:rPr>
              <w:t xml:space="preserve">8.38</w:t>
            </w:r>
          </w:p>
        </w:tc>
        <w:tc>
          <w:tcPr>
            <w:tcW w:w="1198" w:type="dxa"/>
          </w:tcPr>
          <w:p>
            <w:pPr>
              <w:pStyle w:val="Compact"/>
              <w:keepLines/>
              <w:jc w:val="right"/>
            </w:pPr>
            <w:r>
              <w:rPr>
                <w:sz w:val="16"/>
              </w:rPr>
              <w:t xml:space="preserve">14.48</w:t>
            </w:r>
          </w:p>
        </w:tc>
        <w:tc>
          <w:tcPr>
            <w:tcW w:w="1283" w:type="dxa"/>
          </w:tcPr>
          <w:p>
            <w:pPr>
              <w:pStyle w:val="Compact"/>
              <w:keepLines/>
              <w:jc w:val="right"/>
            </w:pPr>
            <w:r>
              <w:rPr>
                <w:sz w:val="16"/>
              </w:rPr>
              <w:t xml:space="preserve">14.73</w:t>
            </w:r>
          </w:p>
        </w:tc>
      </w:tr>
    </w:tbl>
    <w:p>
      <w:pPr>
        <w:pStyle w:val="BodyText"/>
      </w:pPr>
      <w:r>
        <w:t xml:space="preserve">Rows of singleton mixes show no difference between random and group-held-out evaluation (5.90 versus 5.74 for gradient boosting), as they must, because there is nothing to leak. For rows with three to ten group-mates, the random-split RMSE of gradient boosting (3.8) is about two-thirds of the group-held-out RMSE (5.4–5.8), and for random forest the difference reaches a factor of 1.8 for 6–10 group-mates (4.13 versus 7.55). Ridge regression shows no difference in any stratum. The inflation is therefore concentrated in rows that have group-mates, as the theory predicts. It is not monotone in their number: it is small for one or two group-mates (3.85 versus 4.14), large for 3–10 and small again for more than ten (5.83 versus 6.46), where the errors are high in both protocols, probably because these rows are dominated by other sources of error. Because 246 of 1,030 rows have no group-mates and 594 have only three to five, and because the within-mix variation (age) is itself strongly informative, the aggregate gap for the tree ensembles stays at about 1.2.</w:t>
      </w:r>
    </w:p>
    <w:p>
      <w:pPr>
        <w:pStyle w:val="CaptionedFigure"/>
        <w:keepNext/>
        <w:spacing w:before="120"/>
        <w:jc w:val="center"/>
      </w:pPr>
      <w:r>
        <w:drawing>
          <wp:inline>
            <wp:extent cx="4206240" cy="1742585"/>
            <wp:effectExtent b="0" l="0" r="0" t="0"/>
            <wp:docPr descr="Fig. 10. Concrete: RMSE of gradient boosting under random (blue) and group-held-out (orange) 10-fold cross-validation, stratified by the number of other rows of the same mix." title="" id="83" name="Picture"/>
            <a:graphic>
              <a:graphicData uri="http://schemas.openxmlformats.org/drawingml/2006/picture">
                <pic:pic>
                  <pic:nvPicPr>
                    <pic:cNvPr descr="../figures/paper/fig10_concrete_stratified.png" id="84" name="Picture"/>
                    <pic:cNvPicPr>
                      <a:picLocks noChangeArrowheads="1" noChangeAspect="1"/>
                    </pic:cNvPicPr>
                  </pic:nvPicPr>
                  <pic:blipFill>
                    <a:blip r:embed="rId82"/>
                    <a:stretch>
                      <a:fillRect/>
                    </a:stretch>
                  </pic:blipFill>
                  <pic:spPr bwMode="auto">
                    <a:xfrm>
                      <a:off x="0" y="0"/>
                      <a:ext cx="4206240" cy="1742585"/>
                    </a:xfrm>
                    <a:prstGeom prst="rect">
                      <a:avLst/>
                    </a:prstGeom>
                    <a:noFill/>
                    <a:ln w="9525">
                      <a:noFill/>
                      <a:headEnd/>
                      <a:tailEnd/>
                    </a:ln>
                  </pic:spPr>
                </pic:pic>
              </a:graphicData>
            </a:graphic>
          </wp:inline>
        </w:drawing>
      </w:r>
    </w:p>
    <w:p>
      <w:pPr>
        <w:pStyle w:val="ImageCaption"/>
      </w:pPr>
      <w:r>
        <w:t xml:space="preserve">Fig. 10. Concrete: RMSE of gradient boosting under random (blue) and group-held-out (orange) 10-fold cross-validation, stratified by the number of other rows of the same mix.</w:t>
      </w:r>
    </w:p>
    <w:bookmarkEnd w:id="85"/>
    <w:bookmarkStart w:id="91" w:name="theory-versus-data"/>
    <w:p>
      <w:pPr>
        <w:pStyle w:val="Heading2"/>
      </w:pPr>
      <w:r>
        <w:rPr>
          <w:rStyle w:val="SectionNumber"/>
        </w:rPr>
        <w:t xml:space="preserve">6.5</w:t>
      </w:r>
      <w:r>
        <w:tab/>
      </w:r>
      <w:r>
        <w:t xml:space="preserve">Theory versus data</w:t>
      </w:r>
    </w:p>
    <w:bookmarkStart w:id="86" w:name="synthetic-validation"/>
    <w:p>
      <w:pPr>
        <w:pStyle w:val="Heading3"/>
      </w:pPr>
      <w:r>
        <w:rPr>
          <w:rStyle w:val="SectionNumber"/>
        </w:rPr>
        <w:t xml:space="preserve">6.5.1</w:t>
      </w:r>
      <w:r>
        <w:tab/>
      </w:r>
      <w:r>
        <w:t xml:space="preserve">Synthetic validation</w:t>
      </w:r>
    </w:p>
    <w:p>
      <w:pPr>
        <w:pStyle w:val="FirstParagraph"/>
      </w:pPr>
      <w:r>
        <w:t xml:space="preserve">We simulated data from Eq. (1) with 50 groups, group sizes</w:t>
      </w:r>
      <w:r>
        <w:t xml:space="preserve"> </w:t>
      </w:r>
      <m:oMath>
        <m:r>
          <m:t>m</m:t>
        </m:r>
        <m:r>
          <m:rPr>
            <m:sty m:val="p"/>
          </m:rPr>
          <m:t>∈</m:t>
        </m:r>
        <m:r>
          <m:rPr>
            <m:sty m:val="p"/>
          </m:rPr>
          <m:t>{</m:t>
        </m:r>
        <m:r>
          <m:t>2</m:t>
        </m:r>
        <m:r>
          <m:rPr>
            <m:sty m:val="p"/>
          </m:rPr>
          <m:t>,</m:t>
        </m:r>
        <m:r>
          <m:t>5</m:t>
        </m:r>
        <m:r>
          <m:rPr>
            <m:sty m:val="p"/>
          </m:rPr>
          <m:t>,</m:t>
        </m:r>
        <m:r>
          <m:t>20</m:t>
        </m:r>
        <m:r>
          <m:rPr>
            <m:sty m:val="p"/>
          </m:rPr>
          <m:t>,</m:t>
        </m:r>
        <m:r>
          <m:t>64</m:t>
        </m:r>
        <m:r>
          <m:rPr>
            <m:sty m:val="p"/>
          </m:rPr>
          <m:t>}</m:t>
        </m:r>
      </m:oMath>
      <w:r>
        <w:t xml:space="preserve"> </w:t>
      </w:r>
      <w:r>
        <w:t xml:space="preserve">and intraclass correlations</w:t>
      </w:r>
      <w:r>
        <w:t xml:space="preserve"> </w:t>
      </w:r>
      <m:oMath>
        <m:r>
          <m:t>r</m:t>
        </m:r>
        <m:r>
          <m:rPr>
            <m:sty m:val="p"/>
          </m:rPr>
          <m:t>∈</m:t>
        </m:r>
        <m:r>
          <m:rPr>
            <m:sty m:val="p"/>
          </m:rPr>
          <m:t>{</m:t>
        </m:r>
        <m:r>
          <m:t>0.05</m:t>
        </m:r>
        <m:r>
          <m:rPr>
            <m:sty m:val="p"/>
          </m:rPr>
          <m:t>,</m:t>
        </m:r>
        <m:r>
          <m:t>0.2</m:t>
        </m:r>
        <m:r>
          <m:rPr>
            <m:sty m:val="p"/>
          </m:rPr>
          <m:t>,</m:t>
        </m:r>
        <m:r>
          <m:t>0.4</m:t>
        </m:r>
        <m:r>
          <m:rPr>
            <m:sty m:val="p"/>
          </m:rPr>
          <m:t>,</m:t>
        </m:r>
        <m:r>
          <m:t>0.6</m:t>
        </m:r>
        <m:r>
          <m:rPr>
            <m:sty m:val="p"/>
          </m:rPr>
          <m:t>,</m:t>
        </m:r>
        <m:r>
          <m:t>0.8</m:t>
        </m:r>
        <m:r>
          <m:rPr>
            <m:sty m:val="p"/>
          </m:rPr>
          <m:t>}</m:t>
        </m:r>
      </m:oMath>
      <w:r>
        <w:t xml:space="preserve">. The shared signal</w:t>
      </w:r>
      <w:r>
        <w:t xml:space="preserve"> </w:t>
      </w:r>
      <m:oMath>
        <m:r>
          <m:t>f</m:t>
        </m:r>
      </m:oMath>
      <w:r>
        <w:t xml:space="preserve"> </w:t>
      </w:r>
      <w:r>
        <w:t xml:space="preserve">depended on three group-level features, which identify the group, and on two row-level features; offsets and noise were Gaussian with variances</w:t>
      </w:r>
      <w:r>
        <w:t xml:space="preserve"> </w:t>
      </w:r>
      <m:oMath>
        <m:r>
          <m:t>r</m:t>
        </m:r>
      </m:oMath>
      <w:r>
        <w:t xml:space="preserve"> </w:t>
      </w:r>
      <w:r>
        <w:t xml:space="preserve">and</w:t>
      </w:r>
      <w:r>
        <w:t xml:space="preserve"> </w:t>
      </w:r>
      <m:oMath>
        <m:r>
          <m:t>1</m:t>
        </m:r>
        <m:r>
          <m:rPr>
            <m:sty m:val="p"/>
          </m:rPr>
          <m:t>−</m:t>
        </m:r>
        <m:r>
          <m:t>r</m:t>
        </m:r>
      </m:oMath>
      <w:r>
        <w:t xml:space="preserve">. We fitted gradient boosting (150 trees, depth 3) and ridge regression under random and group-held-out 10-fold cross-validation (three replications per cell) and compared the observed inflation</w:t>
      </w:r>
      <w:r>
        <w:t xml:space="preserve"> </w:t>
      </w:r>
      <m:oMath>
        <m:r>
          <m:t>ρ</m:t>
        </m:r>
      </m:oMath>
      <w:r>
        <w:t xml:space="preserve"> </w:t>
      </w:r>
      <w:r>
        <w:t xml:space="preserve">with Eq. (6) for</w:t>
      </w:r>
      <w:r>
        <w:t xml:space="preserve"> </w:t>
      </w:r>
      <m:oMath>
        <m:r>
          <m:t>κ</m:t>
        </m:r>
        <m:r>
          <m:rPr>
            <m:sty m:val="p"/>
          </m:rPr>
          <m:t>=</m:t>
        </m:r>
        <m:r>
          <m:t>1</m:t>
        </m:r>
      </m:oMath>
      <w:r>
        <w:t xml:space="preserve"> </w:t>
      </w:r>
      <w:r>
        <w:t xml:space="preserve">(Table 14, Fig. 11a).</w:t>
      </w:r>
    </w:p>
    <w:p>
      <w:pPr>
        <w:pStyle w:val="TableCaption"/>
      </w:pPr>
      <w:r>
        <w:t xml:space="preserve">Table 14. Synthetic validation: observed inflation ratio</w:t>
      </w:r>
      <w:r>
        <w:t xml:space="preserve"> </w:t>
      </w:r>
      <m:oMath>
        <m:r>
          <m:t>ρ</m:t>
        </m:r>
      </m:oMath>
      <w:r>
        <w:t xml:space="preserve"> </w:t>
      </w:r>
      <w:r>
        <w:t xml:space="preserve">of gradient boosting, with the prediction of Eq. (6) in parentheses, and the range of the observed ratio for ridge regression. Means of three replications; 50 groups.</w:t>
      </w:r>
    </w:p>
    <w:tbl>
      <w:tblPr>
        <w:tblStyle w:val="Table"/>
        <w:tblW w:w="9071" w:type="dxa"/>
        <w:tblBorders>
          <w:top w:val="single" w:sz="12" w:space="0" w:color="000000"/>
          <w:left w:val="nil"/>
          <w:bottom w:val="single" w:sz="12"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Caption w:val="Table 14. Synthetic validation: observed inflation ratio \rho of gradient boosting, with the prediction of Eq. (6) in parentheses, and the range of the observed ratio for ridge regression. Means of three replications; 50 groups."/>
      </w:tblPr>
      <w:tblGrid>
        <w:gridCol w:w="980"/>
        <w:gridCol w:w="1593"/>
        <w:gridCol w:w="1593"/>
        <w:gridCol w:w="1593"/>
        <w:gridCol w:w="1593"/>
        <w:gridCol w:w="1716"/>
      </w:tblGrid>
      <w:tr>
        <w:trPr>
          <w:cantSplit w:val="true"/>
          <w:tblHeader w:val="on"/>
          <w:tblHeader w:val="true"/>
        </w:trPr>
        <w:tc>
          <w:tcPr>
            <w:tcW w:w="980" w:type="dxa"/>
            <w:tcBorders>
              <w:bottom w:val="single" w:sz="6" w:space="0" w:color="000000"/>
            </w:tcBorders>
          </w:tcPr>
          <w:p>
            <w:pPr>
              <w:pStyle w:val="Compact"/>
              <w:keepLines/>
              <w:jc w:val="right"/>
            </w:pPr>
            <w:r>
              <w:rPr>
                <w:b/>
                <w:sz w:val="17"/>
              </w:rPr>
              <w:t xml:space="preserve">ICC</w:t>
            </w:r>
            <w:r>
              <w:rPr>
                <w:b/>
                <w:sz w:val="17"/>
              </w:rPr>
              <w:t xml:space="preserve"> </w:t>
            </w:r>
            <m:oMath>
              <m:r>
                <m:t>r</m:t>
              </m:r>
            </m:oMath>
          </w:p>
        </w:tc>
        <w:tc>
          <w:tcPr>
            <w:tcW w:w="1593" w:type="dxa"/>
            <w:tcBorders>
              <w:bottom w:val="single" w:sz="6" w:space="0" w:color="000000"/>
            </w:tcBorders>
          </w:tcPr>
          <w:p>
            <w:pPr>
              <w:pStyle w:val="Compact"/>
              <w:keepLines/>
              <w:jc w:val="left"/>
            </w:pPr>
            <m:oMath>
              <m:r>
                <m:t>m</m:t>
              </m:r>
              <m:r>
                <m:rPr>
                  <m:sty m:val="p"/>
                </m:rPr>
                <m:t>=</m:t>
              </m:r>
              <m:r>
                <m:t>2</m:t>
              </m:r>
            </m:oMath>
          </w:p>
        </w:tc>
        <w:tc>
          <w:tcPr>
            <w:tcW w:w="1593" w:type="dxa"/>
            <w:tcBorders>
              <w:bottom w:val="single" w:sz="6" w:space="0" w:color="000000"/>
            </w:tcBorders>
          </w:tcPr>
          <w:p>
            <w:pPr>
              <w:pStyle w:val="Compact"/>
              <w:keepLines/>
              <w:jc w:val="left"/>
            </w:pPr>
            <m:oMath>
              <m:r>
                <m:t>m</m:t>
              </m:r>
              <m:r>
                <m:rPr>
                  <m:sty m:val="p"/>
                </m:rPr>
                <m:t>=</m:t>
              </m:r>
              <m:r>
                <m:t>5</m:t>
              </m:r>
            </m:oMath>
          </w:p>
        </w:tc>
        <w:tc>
          <w:tcPr>
            <w:tcW w:w="1593" w:type="dxa"/>
            <w:tcBorders>
              <w:bottom w:val="single" w:sz="6" w:space="0" w:color="000000"/>
            </w:tcBorders>
          </w:tcPr>
          <w:p>
            <w:pPr>
              <w:pStyle w:val="Compact"/>
              <w:keepLines/>
              <w:jc w:val="left"/>
            </w:pPr>
            <m:oMath>
              <m:r>
                <m:t>m</m:t>
              </m:r>
              <m:r>
                <m:rPr>
                  <m:sty m:val="p"/>
                </m:rPr>
                <m:t>=</m:t>
              </m:r>
              <m:r>
                <m:t>20</m:t>
              </m:r>
            </m:oMath>
          </w:p>
        </w:tc>
        <w:tc>
          <w:tcPr>
            <w:tcW w:w="1593" w:type="dxa"/>
            <w:tcBorders>
              <w:bottom w:val="single" w:sz="6" w:space="0" w:color="000000"/>
            </w:tcBorders>
          </w:tcPr>
          <w:p>
            <w:pPr>
              <w:pStyle w:val="Compact"/>
              <w:keepLines/>
              <w:jc w:val="left"/>
            </w:pPr>
            <m:oMath>
              <m:r>
                <m:t>m</m:t>
              </m:r>
              <m:r>
                <m:rPr>
                  <m:sty m:val="p"/>
                </m:rPr>
                <m:t>=</m:t>
              </m:r>
              <m:r>
                <m:t>64</m:t>
              </m:r>
            </m:oMath>
          </w:p>
        </w:tc>
        <w:tc>
          <w:tcPr>
            <w:tcW w:w="1716" w:type="dxa"/>
            <w:tcBorders>
              <w:bottom w:val="single" w:sz="6" w:space="0" w:color="000000"/>
            </w:tcBorders>
          </w:tcPr>
          <w:p>
            <w:pPr>
              <w:pStyle w:val="Compact"/>
              <w:keepLines/>
              <w:jc w:val="left"/>
            </w:pPr>
            <w:r>
              <w:rPr>
                <w:b/>
                <w:sz w:val="17"/>
              </w:rPr>
              <w:t xml:space="preserve">Ridge (all</w:t>
            </w:r>
            <w:r>
              <w:rPr>
                <w:b/>
                <w:sz w:val="17"/>
              </w:rPr>
              <w:t xml:space="preserve"> </w:t>
            </w:r>
            <m:oMath>
              <m:r>
                <m:t>m</m:t>
              </m:r>
            </m:oMath>
            <w:r>
              <w:rPr>
                <w:b/>
                <w:sz w:val="17"/>
              </w:rPr>
              <w:t xml:space="preserve">)</w:t>
            </w:r>
          </w:p>
        </w:tc>
      </w:tr>
      <w:tr>
        <w:trPr>
          <w:cantSplit w:val="true"/>
        </w:trPr>
        <w:tc>
          <w:tcPr>
            <w:tcW w:w="980" w:type="dxa"/>
          </w:tcPr>
          <w:p>
            <w:pPr>
              <w:pStyle w:val="Compact"/>
              <w:keepLines/>
              <w:jc w:val="right"/>
            </w:pPr>
            <w:r>
              <w:rPr>
                <w:sz w:val="17"/>
              </w:rPr>
              <w:t xml:space="preserve">0.05</w:t>
            </w:r>
          </w:p>
        </w:tc>
        <w:tc>
          <w:tcPr>
            <w:tcW w:w="1593" w:type="dxa"/>
          </w:tcPr>
          <w:p>
            <w:pPr>
              <w:pStyle w:val="Compact"/>
              <w:keepLines/>
              <w:jc w:val="left"/>
            </w:pPr>
            <w:r>
              <w:rPr>
                <w:sz w:val="17"/>
              </w:rPr>
              <w:t xml:space="preserve">0.91 (1.00)</w:t>
            </w:r>
          </w:p>
        </w:tc>
        <w:tc>
          <w:tcPr>
            <w:tcW w:w="1593" w:type="dxa"/>
          </w:tcPr>
          <w:p>
            <w:pPr>
              <w:pStyle w:val="Compact"/>
              <w:keepLines/>
              <w:jc w:val="left"/>
            </w:pPr>
            <w:r>
              <w:rPr>
                <w:sz w:val="17"/>
              </w:rPr>
              <w:t xml:space="preserve">1.06 (1.00)</w:t>
            </w:r>
          </w:p>
        </w:tc>
        <w:tc>
          <w:tcPr>
            <w:tcW w:w="1593" w:type="dxa"/>
          </w:tcPr>
          <w:p>
            <w:pPr>
              <w:pStyle w:val="Compact"/>
              <w:keepLines/>
              <w:jc w:val="left"/>
            </w:pPr>
            <w:r>
              <w:rPr>
                <w:sz w:val="17"/>
              </w:rPr>
              <w:t xml:space="preserve">1.06 (1.01)</w:t>
            </w:r>
          </w:p>
        </w:tc>
        <w:tc>
          <w:tcPr>
            <w:tcW w:w="1593" w:type="dxa"/>
          </w:tcPr>
          <w:p>
            <w:pPr>
              <w:pStyle w:val="Compact"/>
              <w:keepLines/>
              <w:jc w:val="left"/>
            </w:pPr>
            <w:r>
              <w:rPr>
                <w:sz w:val="17"/>
              </w:rPr>
              <w:t xml:space="preserve">1.05 (1.02)</w:t>
            </w:r>
          </w:p>
        </w:tc>
        <w:tc>
          <w:tcPr>
            <w:tcW w:w="1716" w:type="dxa"/>
          </w:tcPr>
          <w:p>
            <w:pPr>
              <w:pStyle w:val="Compact"/>
              <w:keepLines/>
              <w:jc w:val="left"/>
            </w:pPr>
            <w:r>
              <w:rPr>
                <w:sz w:val="17"/>
              </w:rPr>
              <w:t xml:space="preserve">0.99–1.00</w:t>
            </w:r>
          </w:p>
        </w:tc>
      </w:tr>
      <w:tr>
        <w:trPr>
          <w:cantSplit w:val="true"/>
        </w:trPr>
        <w:tc>
          <w:tcPr>
            <w:tcW w:w="980" w:type="dxa"/>
          </w:tcPr>
          <w:p>
            <w:pPr>
              <w:pStyle w:val="Compact"/>
              <w:keepLines/>
              <w:jc w:val="right"/>
            </w:pPr>
            <w:r>
              <w:rPr>
                <w:sz w:val="17"/>
              </w:rPr>
              <w:t xml:space="preserve">0.20</w:t>
            </w:r>
          </w:p>
        </w:tc>
        <w:tc>
          <w:tcPr>
            <w:tcW w:w="1593" w:type="dxa"/>
          </w:tcPr>
          <w:p>
            <w:pPr>
              <w:pStyle w:val="Compact"/>
              <w:keepLines/>
              <w:jc w:val="left"/>
            </w:pPr>
            <w:r>
              <w:rPr>
                <w:sz w:val="17"/>
              </w:rPr>
              <w:t xml:space="preserve">1.08 (1.03)</w:t>
            </w:r>
          </w:p>
        </w:tc>
        <w:tc>
          <w:tcPr>
            <w:tcW w:w="1593" w:type="dxa"/>
          </w:tcPr>
          <w:p>
            <w:pPr>
              <w:pStyle w:val="Compact"/>
              <w:keepLines/>
              <w:jc w:val="left"/>
            </w:pPr>
            <w:r>
              <w:rPr>
                <w:sz w:val="17"/>
              </w:rPr>
              <w:t xml:space="preserve">1.08 (1.06)</w:t>
            </w:r>
          </w:p>
        </w:tc>
        <w:tc>
          <w:tcPr>
            <w:tcW w:w="1593" w:type="dxa"/>
          </w:tcPr>
          <w:p>
            <w:pPr>
              <w:pStyle w:val="Compact"/>
              <w:keepLines/>
              <w:jc w:val="left"/>
            </w:pPr>
            <w:r>
              <w:rPr>
                <w:sz w:val="17"/>
              </w:rPr>
              <w:t xml:space="preserve">1.13 (1.09)</w:t>
            </w:r>
          </w:p>
        </w:tc>
        <w:tc>
          <w:tcPr>
            <w:tcW w:w="1593" w:type="dxa"/>
          </w:tcPr>
          <w:p>
            <w:pPr>
              <w:pStyle w:val="Compact"/>
              <w:keepLines/>
              <w:jc w:val="left"/>
            </w:pPr>
            <w:r>
              <w:rPr>
                <w:sz w:val="17"/>
              </w:rPr>
              <w:t xml:space="preserve">1.28 (1.11)</w:t>
            </w:r>
          </w:p>
        </w:tc>
        <w:tc>
          <w:tcPr>
            <w:tcW w:w="1716" w:type="dxa"/>
          </w:tcPr>
          <w:p>
            <w:pPr>
              <w:pStyle w:val="Compact"/>
              <w:keepLines/>
              <w:jc w:val="left"/>
            </w:pPr>
            <w:r>
              <w:rPr>
                <w:sz w:val="17"/>
              </w:rPr>
              <w:t xml:space="preserve">1.01–1.02</w:t>
            </w:r>
          </w:p>
        </w:tc>
      </w:tr>
      <w:tr>
        <w:trPr>
          <w:cantSplit w:val="true"/>
        </w:trPr>
        <w:tc>
          <w:tcPr>
            <w:tcW w:w="980" w:type="dxa"/>
          </w:tcPr>
          <w:p>
            <w:pPr>
              <w:pStyle w:val="Compact"/>
              <w:keepLines/>
              <w:jc w:val="right"/>
            </w:pPr>
            <w:r>
              <w:rPr>
                <w:sz w:val="17"/>
              </w:rPr>
              <w:t xml:space="preserve">0.40</w:t>
            </w:r>
          </w:p>
        </w:tc>
        <w:tc>
          <w:tcPr>
            <w:tcW w:w="1593" w:type="dxa"/>
          </w:tcPr>
          <w:p>
            <w:pPr>
              <w:pStyle w:val="Compact"/>
              <w:keepLines/>
              <w:jc w:val="left"/>
            </w:pPr>
            <w:r>
              <w:rPr>
                <w:sz w:val="17"/>
              </w:rPr>
              <w:t xml:space="preserve">1.07 (1.13)</w:t>
            </w:r>
          </w:p>
        </w:tc>
        <w:tc>
          <w:tcPr>
            <w:tcW w:w="1593" w:type="dxa"/>
          </w:tcPr>
          <w:p>
            <w:pPr>
              <w:pStyle w:val="Compact"/>
              <w:keepLines/>
              <w:jc w:val="left"/>
            </w:pPr>
            <w:r>
              <w:rPr>
                <w:sz w:val="17"/>
              </w:rPr>
              <w:t xml:space="preserve">1.23 (1.20)</w:t>
            </w:r>
          </w:p>
        </w:tc>
        <w:tc>
          <w:tcPr>
            <w:tcW w:w="1593" w:type="dxa"/>
          </w:tcPr>
          <w:p>
            <w:pPr>
              <w:pStyle w:val="Compact"/>
              <w:keepLines/>
              <w:jc w:val="left"/>
            </w:pPr>
            <w:r>
              <w:rPr>
                <w:sz w:val="17"/>
              </w:rPr>
              <w:t xml:space="preserve">1.36 (1.26)</w:t>
            </w:r>
          </w:p>
        </w:tc>
        <w:tc>
          <w:tcPr>
            <w:tcW w:w="1593" w:type="dxa"/>
          </w:tcPr>
          <w:p>
            <w:pPr>
              <w:pStyle w:val="Compact"/>
              <w:keepLines/>
              <w:jc w:val="left"/>
            </w:pPr>
            <w:r>
              <w:rPr>
                <w:sz w:val="17"/>
              </w:rPr>
              <w:t xml:space="preserve">1.36 (1.28)</w:t>
            </w:r>
          </w:p>
        </w:tc>
        <w:tc>
          <w:tcPr>
            <w:tcW w:w="1716" w:type="dxa"/>
          </w:tcPr>
          <w:p>
            <w:pPr>
              <w:pStyle w:val="Compact"/>
              <w:keepLines/>
              <w:jc w:val="left"/>
            </w:pPr>
            <w:r>
              <w:rPr>
                <w:sz w:val="17"/>
              </w:rPr>
              <w:t xml:space="preserve">1.01–1.04</w:t>
            </w:r>
          </w:p>
        </w:tc>
      </w:tr>
      <w:tr>
        <w:trPr>
          <w:cantSplit w:val="true"/>
        </w:trPr>
        <w:tc>
          <w:tcPr>
            <w:tcW w:w="980" w:type="dxa"/>
          </w:tcPr>
          <w:p>
            <w:pPr>
              <w:pStyle w:val="Compact"/>
              <w:keepLines/>
              <w:jc w:val="right"/>
            </w:pPr>
            <w:r>
              <w:rPr>
                <w:sz w:val="17"/>
              </w:rPr>
              <w:t xml:space="preserve">0.60</w:t>
            </w:r>
          </w:p>
        </w:tc>
        <w:tc>
          <w:tcPr>
            <w:tcW w:w="1593" w:type="dxa"/>
          </w:tcPr>
          <w:p>
            <w:pPr>
              <w:pStyle w:val="Compact"/>
              <w:keepLines/>
              <w:jc w:val="left"/>
            </w:pPr>
            <w:r>
              <w:rPr>
                <w:sz w:val="17"/>
              </w:rPr>
              <w:t xml:space="preserve">1.27 (1.33)</w:t>
            </w:r>
          </w:p>
        </w:tc>
        <w:tc>
          <w:tcPr>
            <w:tcW w:w="1593" w:type="dxa"/>
          </w:tcPr>
          <w:p>
            <w:pPr>
              <w:pStyle w:val="Compact"/>
              <w:keepLines/>
              <w:jc w:val="left"/>
            </w:pPr>
            <w:r>
              <w:rPr>
                <w:sz w:val="17"/>
              </w:rPr>
              <w:t xml:space="preserve">1.31 (1.45)</w:t>
            </w:r>
          </w:p>
        </w:tc>
        <w:tc>
          <w:tcPr>
            <w:tcW w:w="1593" w:type="dxa"/>
          </w:tcPr>
          <w:p>
            <w:pPr>
              <w:pStyle w:val="Compact"/>
              <w:keepLines/>
              <w:jc w:val="left"/>
            </w:pPr>
            <w:r>
              <w:rPr>
                <w:sz w:val="17"/>
              </w:rPr>
              <w:t xml:space="preserve">1.69 (1.54)</w:t>
            </w:r>
          </w:p>
        </w:tc>
        <w:tc>
          <w:tcPr>
            <w:tcW w:w="1593" w:type="dxa"/>
          </w:tcPr>
          <w:p>
            <w:pPr>
              <w:pStyle w:val="Compact"/>
              <w:keepLines/>
              <w:jc w:val="left"/>
            </w:pPr>
            <w:r>
              <w:rPr>
                <w:sz w:val="17"/>
              </w:rPr>
              <w:t xml:space="preserve">1.61 (1.57)</w:t>
            </w:r>
          </w:p>
        </w:tc>
        <w:tc>
          <w:tcPr>
            <w:tcW w:w="1716" w:type="dxa"/>
          </w:tcPr>
          <w:p>
            <w:pPr>
              <w:pStyle w:val="Compact"/>
              <w:keepLines/>
              <w:jc w:val="left"/>
            </w:pPr>
            <w:r>
              <w:rPr>
                <w:sz w:val="17"/>
              </w:rPr>
              <w:t xml:space="preserve">1.01–1.05</w:t>
            </w:r>
          </w:p>
        </w:tc>
      </w:tr>
      <w:tr>
        <w:trPr>
          <w:cantSplit w:val="true"/>
        </w:trPr>
        <w:tc>
          <w:tcPr>
            <w:tcW w:w="980" w:type="dxa"/>
          </w:tcPr>
          <w:p>
            <w:pPr>
              <w:pStyle w:val="Compact"/>
              <w:keepLines/>
              <w:jc w:val="right"/>
            </w:pPr>
            <w:r>
              <w:rPr>
                <w:sz w:val="17"/>
              </w:rPr>
              <w:t xml:space="preserve">0.80</w:t>
            </w:r>
          </w:p>
        </w:tc>
        <w:tc>
          <w:tcPr>
            <w:tcW w:w="1593" w:type="dxa"/>
          </w:tcPr>
          <w:p>
            <w:pPr>
              <w:pStyle w:val="Compact"/>
              <w:keepLines/>
              <w:jc w:val="left"/>
            </w:pPr>
            <w:r>
              <w:rPr>
                <w:sz w:val="17"/>
              </w:rPr>
              <w:t xml:space="preserve">1.45 (1.83)</w:t>
            </w:r>
          </w:p>
        </w:tc>
        <w:tc>
          <w:tcPr>
            <w:tcW w:w="1593" w:type="dxa"/>
          </w:tcPr>
          <w:p>
            <w:pPr>
              <w:pStyle w:val="Compact"/>
              <w:keepLines/>
              <w:jc w:val="left"/>
            </w:pPr>
            <w:r>
              <w:rPr>
                <w:sz w:val="17"/>
              </w:rPr>
              <w:t xml:space="preserve">1.66 (2.03)</w:t>
            </w:r>
          </w:p>
        </w:tc>
        <w:tc>
          <w:tcPr>
            <w:tcW w:w="1593" w:type="dxa"/>
          </w:tcPr>
          <w:p>
            <w:pPr>
              <w:pStyle w:val="Compact"/>
              <w:keepLines/>
              <w:jc w:val="left"/>
            </w:pPr>
            <w:r>
              <w:rPr>
                <w:sz w:val="17"/>
              </w:rPr>
              <w:t xml:space="preserve">2.14 (2.18)</w:t>
            </w:r>
          </w:p>
        </w:tc>
        <w:tc>
          <w:tcPr>
            <w:tcW w:w="1593" w:type="dxa"/>
          </w:tcPr>
          <w:p>
            <w:pPr>
              <w:pStyle w:val="Compact"/>
              <w:keepLines/>
              <w:jc w:val="left"/>
            </w:pPr>
            <w:r>
              <w:rPr>
                <w:sz w:val="17"/>
              </w:rPr>
              <w:t xml:space="preserve">2.41 (2.22)</w:t>
            </w:r>
          </w:p>
        </w:tc>
        <w:tc>
          <w:tcPr>
            <w:tcW w:w="1716" w:type="dxa"/>
          </w:tcPr>
          <w:p>
            <w:pPr>
              <w:pStyle w:val="Compact"/>
              <w:keepLines/>
              <w:jc w:val="left"/>
            </w:pPr>
            <w:r>
              <w:rPr>
                <w:sz w:val="17"/>
              </w:rPr>
              <w:t xml:space="preserve">1.04–1.10</w:t>
            </w:r>
          </w:p>
        </w:tc>
      </w:tr>
    </w:tbl>
    <w:p>
      <w:pPr>
        <w:pStyle w:val="BodyText"/>
      </w:pPr>
      <w:r>
        <w:t xml:space="preserve">The prediction tracks the observed inflation of gradient boosting well (Pearson correlation 0.93 over the 20 cells, mean absolute difference 0.11, mean signed difference</w:t>
      </w:r>
      <w:r>
        <w:t xml:space="preserve"> </w:t>
      </w:r>
      <m:oMath>
        <m:r>
          <m:rPr>
            <m:sty m:val="p"/>
          </m:rPr>
          <m:t>−</m:t>
        </m:r>
        <m:r>
          <m:t>0.006</m:t>
        </m:r>
      </m:oMath>
      <w:r>
        <w:t xml:space="preserve">). It captures the growth of the inflation with the ICC and with the group size: at</w:t>
      </w:r>
      <w:r>
        <w:t xml:space="preserve"> </w:t>
      </w:r>
      <m:oMath>
        <m:r>
          <m:t>r</m:t>
        </m:r>
        <m:r>
          <m:rPr>
            <m:sty m:val="p"/>
          </m:rPr>
          <m:t>=</m:t>
        </m:r>
        <m:r>
          <m:t>0.8</m:t>
        </m:r>
      </m:oMath>
      <w:r>
        <w:t xml:space="preserve"> </w:t>
      </w:r>
      <w:r>
        <w:t xml:space="preserve">the observed ratio rises from 1.45 (</w:t>
      </w:r>
      <m:oMath>
        <m:r>
          <m:t>m</m:t>
        </m:r>
        <m:r>
          <m:rPr>
            <m:sty m:val="p"/>
          </m:rPr>
          <m:t>=</m:t>
        </m:r>
        <m:r>
          <m:t>2</m:t>
        </m:r>
      </m:oMath>
      <w:r>
        <w:t xml:space="preserve">) to 2.41 (</w:t>
      </w:r>
      <m:oMath>
        <m:r>
          <m:t>m</m:t>
        </m:r>
        <m:r>
          <m:rPr>
            <m:sty m:val="p"/>
          </m:rPr>
          <m:t>=</m:t>
        </m:r>
        <m:r>
          <m:t>64</m:t>
        </m:r>
      </m:oMath>
      <w:r>
        <w:t xml:space="preserve">), the predicted one from 1.83 to 2.22. Deviations are systematic in two places. For small groups and high ICC the learner does not reach the idealised</w:t>
      </w:r>
      <w:r>
        <w:t xml:space="preserve"> </w:t>
      </w:r>
      <m:oMath>
        <m:r>
          <m:t>κ</m:t>
        </m:r>
        <m:r>
          <m:rPr>
            <m:sty m:val="p"/>
          </m:rPr>
          <m:t>=</m:t>
        </m:r>
        <m:r>
          <m:t>1</m:t>
        </m:r>
      </m:oMath>
      <w:r>
        <w:t xml:space="preserve"> </w:t>
      </w:r>
      <w:r>
        <w:t xml:space="preserve">(observed 1.45 and 1.66 against predicted 1.83 and 2.03 for</w:t>
      </w:r>
      <w:r>
        <w:t xml:space="preserve"> </w:t>
      </w:r>
      <m:oMath>
        <m:r>
          <m:t>m</m:t>
        </m:r>
        <m:r>
          <m:rPr>
            <m:sty m:val="p"/>
          </m:rPr>
          <m:t>=</m:t>
        </m:r>
        <m:r>
          <m:t>2</m:t>
        </m:r>
      </m:oMath>
      <w:r>
        <w:t xml:space="preserve"> </w:t>
      </w:r>
      <w:r>
        <w:t xml:space="preserve">and 5 at</w:t>
      </w:r>
      <w:r>
        <w:t xml:space="preserve"> </w:t>
      </w:r>
      <m:oMath>
        <m:r>
          <m:t>r</m:t>
        </m:r>
        <m:r>
          <m:rPr>
            <m:sty m:val="p"/>
          </m:rPr>
          <m:t>=</m:t>
        </m:r>
        <m:r>
          <m:t>0.8</m:t>
        </m:r>
      </m:oMath>
      <w:r>
        <w:t xml:space="preserve">), because it must learn the offsets from the group-identifying features with only a few rows. For large groups the observed ratio sometimes exceeds the prediction (2.41 versus 2.22 at</w:t>
      </w:r>
      <w:r>
        <w:t xml:space="preserve"> </w:t>
      </w:r>
      <m:oMath>
        <m:r>
          <m:t>r</m:t>
        </m:r>
        <m:r>
          <m:rPr>
            <m:sty m:val="p"/>
          </m:rPr>
          <m:t>=</m:t>
        </m:r>
        <m:r>
          <m:t>0.8</m:t>
        </m:r>
      </m:oMath>
      <w:r>
        <w:t xml:space="preserve">,</w:t>
      </w:r>
      <w:r>
        <w:t xml:space="preserve"> </w:t>
      </w:r>
      <m:oMath>
        <m:r>
          <m:t>m</m:t>
        </m:r>
        <m:r>
          <m:rPr>
            <m:sty m:val="p"/>
          </m:rPr>
          <m:t>=</m:t>
        </m:r>
        <m:r>
          <m:t>64</m:t>
        </m:r>
      </m:oMath>
      <w:r>
        <w:t xml:space="preserve">; 1.28 versus 1.11 at</w:t>
      </w:r>
      <w:r>
        <w:t xml:space="preserve"> </w:t>
      </w:r>
      <m:oMath>
        <m:r>
          <m:t>r</m:t>
        </m:r>
        <m:r>
          <m:rPr>
            <m:sty m:val="p"/>
          </m:rPr>
          <m:t>=</m:t>
        </m:r>
        <m:r>
          <m:t>0.2</m:t>
        </m:r>
      </m:oMath>
      <w:r>
        <w:t xml:space="preserve">), because the learner also memorises the group-level part of the shared signal</w:t>
      </w:r>
      <w:r>
        <w:t xml:space="preserve"> </w:t>
      </w:r>
      <m:oMath>
        <m:r>
          <m:t>f</m:t>
        </m:r>
      </m:oMath>
      <w:r>
        <w:t xml:space="preserve">, which can only be estimated from the 50 groups and is therefore less accurate for unseen groups; this is the unseen-group approximation error that Eq. (9) ignores. Ridge regression, which cannot isolate groups, shows no inflation beyond 1.10 in any cell, consistent with</w:t>
      </w:r>
      <w:r>
        <w:t xml:space="preserve"> </w:t>
      </w:r>
      <m:oMath>
        <m:r>
          <m:t>κ</m:t>
        </m:r>
        <m:r>
          <m:rPr>
            <m:sty m:val="p"/>
          </m:rPr>
          <m:t>≈</m:t>
        </m:r>
        <m:r>
          <m:t>0</m:t>
        </m:r>
      </m:oMath>
      <w:r>
        <w:t xml:space="preserve">.</w:t>
      </w:r>
    </w:p>
    <w:bookmarkEnd w:id="86"/>
    <w:bookmarkStart w:id="90" w:name="real-data"/>
    <w:p>
      <w:pPr>
        <w:pStyle w:val="Heading3"/>
      </w:pPr>
      <w:r>
        <w:rPr>
          <w:rStyle w:val="SectionNumber"/>
        </w:rPr>
        <w:t xml:space="preserve">6.5.2</w:t>
      </w:r>
      <w:r>
        <w:tab/>
      </w:r>
      <w:r>
        <w:t xml:space="preserve">Real data</w:t>
      </w:r>
    </w:p>
    <w:p>
      <w:pPr>
        <w:pStyle w:val="FirstParagraph"/>
      </w:pPr>
      <w:r>
        <w:t xml:space="preserve">On real data the offsets are not known, but their share can be estimated from the group-held-out residuals of a model: the mean squared group-mean residual estimates the offset energy, and the remainder is within-group energy. Table 15 evaluates Eq. (6) with these estimates (with the average number of training rows per group in the training set) and compares it with the observed inflation of the same fixed-hyper-parameter model; Fig. 11b shows the comparison graphically.</w:t>
      </w:r>
    </w:p>
    <w:p>
      <w:pPr>
        <w:pStyle w:val="TableCaption"/>
      </w:pPr>
      <w:r>
        <w:t xml:space="preserve">Table 15. Real-data check of the theory. Observed</w:t>
      </w:r>
      <w:r>
        <w:t xml:space="preserve"> </w:t>
      </w:r>
      <m:oMath>
        <m:r>
          <m:t>ρ</m:t>
        </m:r>
      </m:oMath>
      <w:r>
        <w:t xml:space="preserve"> </w:t>
      </w:r>
      <w:r>
        <w:t xml:space="preserve">is the ratio of group-held-out to random-split RMSE of the fixed-hyper-parameter model; the Eq. (6) value is the inflation of an idealised learner that recovers group offsets, computed from the model’s group-held-out residuals; the offset share is the fraction of the held-out squared error that is a group-level mean error; the last column is the lower bound on the group-specific variance share implied by the observed inflation.</w:t>
      </w:r>
    </w:p>
    <w:tbl>
      <w:tblPr>
        <w:tblStyle w:val="Table"/>
        <w:tblW w:w="9071" w:type="dxa"/>
        <w:tblBorders>
          <w:top w:val="single" w:sz="12" w:space="0" w:color="000000"/>
          <w:left w:val="nil"/>
          <w:bottom w:val="single" w:sz="12"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Caption w:val="Table 15. Real-data check of the theory. Observed \rho is the ratio of group-held-out to random-split RMSE of the fixed-hyper-parameter model; the Eq. (6) value is the inflation of an idealised learner that recovers group offsets, computed from the model’s group-held-out residuals; the offset share is the fraction of the held-out squared error that is a group-level mean error; the last column is the lower bound on the group-specific variance share implied by the observed inflation."/>
      </w:tblPr>
      <w:tblGrid>
        <w:gridCol w:w="1889"/>
        <w:gridCol w:w="1436"/>
        <w:gridCol w:w="755"/>
        <w:gridCol w:w="1133"/>
        <w:gridCol w:w="2418"/>
        <w:gridCol w:w="1436"/>
      </w:tblGrid>
      <w:tr>
        <w:trPr>
          <w:cantSplit w:val="true"/>
          <w:tblHeader w:val="on"/>
          <w:tblHeader w:val="true"/>
        </w:trPr>
        <w:tc>
          <w:tcPr>
            <w:tcW w:w="1889" w:type="dxa"/>
            <w:tcBorders>
              <w:bottom w:val="single" w:sz="6" w:space="0" w:color="000000"/>
            </w:tcBorders>
          </w:tcPr>
          <w:p>
            <w:pPr>
              <w:pStyle w:val="Compact"/>
              <w:keepLines/>
              <w:jc w:val="left"/>
            </w:pPr>
            <w:r>
              <w:rPr>
                <w:b/>
                <w:sz w:val="17"/>
              </w:rPr>
              <w:t xml:space="preserve">Dataset (target)</w:t>
            </w:r>
          </w:p>
        </w:tc>
        <w:tc>
          <w:tcPr>
            <w:tcW w:w="1436" w:type="dxa"/>
            <w:tcBorders>
              <w:bottom w:val="single" w:sz="6" w:space="0" w:color="000000"/>
            </w:tcBorders>
          </w:tcPr>
          <w:p>
            <w:pPr>
              <w:pStyle w:val="Compact"/>
              <w:keepLines/>
              <w:jc w:val="left"/>
            </w:pPr>
            <w:r>
              <w:rPr>
                <w:b/>
                <w:sz w:val="17"/>
              </w:rPr>
              <w:t xml:space="preserve">Model</w:t>
            </w:r>
          </w:p>
        </w:tc>
        <w:tc>
          <w:tcPr>
            <w:tcW w:w="755" w:type="dxa"/>
            <w:tcBorders>
              <w:bottom w:val="single" w:sz="6" w:space="0" w:color="000000"/>
            </w:tcBorders>
          </w:tcPr>
          <w:p>
            <w:pPr>
              <w:pStyle w:val="Compact"/>
              <w:keepLines/>
              <w:jc w:val="right"/>
            </w:pPr>
            <w:r>
              <w:rPr>
                <w:b/>
                <w:sz w:val="17"/>
              </w:rPr>
              <w:t xml:space="preserve">Observed</w:t>
            </w:r>
            <w:r>
              <w:rPr>
                <w:b/>
                <w:sz w:val="17"/>
              </w:rPr>
              <w:t xml:space="preserve"> </w:t>
            </w:r>
            <m:oMath>
              <m:r>
                <m:t>ρ</m:t>
              </m:r>
            </m:oMath>
          </w:p>
        </w:tc>
        <w:tc>
          <w:tcPr>
            <w:tcW w:w="1133" w:type="dxa"/>
            <w:tcBorders>
              <w:bottom w:val="single" w:sz="6" w:space="0" w:color="000000"/>
            </w:tcBorders>
          </w:tcPr>
          <w:p>
            <w:pPr>
              <w:pStyle w:val="Compact"/>
              <w:keepLines/>
              <w:jc w:val="right"/>
            </w:pPr>
            <w:r>
              <w:rPr>
                <w:b/>
                <w:sz w:val="17"/>
              </w:rPr>
              <w:t xml:space="preserve">Eq. (6) value</w:t>
            </w:r>
          </w:p>
        </w:tc>
        <w:tc>
          <w:tcPr>
            <w:tcW w:w="2418" w:type="dxa"/>
            <w:tcBorders>
              <w:bottom w:val="single" w:sz="6" w:space="0" w:color="000000"/>
            </w:tcBorders>
          </w:tcPr>
          <w:p>
            <w:pPr>
              <w:pStyle w:val="Compact"/>
              <w:keepLines/>
              <w:jc w:val="right"/>
            </w:pPr>
            <w:r>
              <w:rPr>
                <w:b/>
                <w:sz w:val="17"/>
              </w:rPr>
              <w:t xml:space="preserve">Offset share of held-out error</w:t>
            </w:r>
          </w:p>
        </w:tc>
        <w:tc>
          <w:tcPr>
            <w:tcW w:w="1436" w:type="dxa"/>
            <w:tcBorders>
              <w:bottom w:val="single" w:sz="6" w:space="0" w:color="000000"/>
            </w:tcBorders>
          </w:tcPr>
          <w:p>
            <w:pPr>
              <w:pStyle w:val="Compact"/>
              <w:keepLines/>
              <w:jc w:val="right"/>
            </w:pPr>
            <w:r>
              <w:rPr>
                <w:b/>
                <w:sz w:val="17"/>
              </w:rPr>
              <w:t xml:space="preserve">Implied</w:t>
            </w:r>
            <w:r>
              <w:rPr>
                <w:b/>
                <w:sz w:val="17"/>
              </w:rPr>
              <w:t xml:space="preserve"> </w:t>
            </w:r>
            <m:oMath>
              <m:sSub>
                <m:e>
                  <m:r>
                    <m:t>r</m:t>
                  </m:r>
                </m:e>
                <m:sub>
                  <m:r>
                    <m:t>G</m:t>
                  </m:r>
                </m:sub>
              </m:sSub>
              <m:r>
                <m:rPr>
                  <m:sty m:val="p"/>
                </m:rPr>
                <m:t>≥</m:t>
              </m:r>
            </m:oMath>
            <w:r>
              <w:rPr>
                <w:b/>
                <w:sz w:val="17"/>
              </w:rPr>
              <w:t xml:space="preserve"> </w:t>
            </w:r>
            <w:r>
              <w:rPr>
                <w:b/>
                <w:sz w:val="17"/>
              </w:rPr>
              <w:t xml:space="preserve">(Eq. 11)</w:t>
            </w:r>
          </w:p>
        </w:tc>
      </w:tr>
      <w:tr>
        <w:trPr>
          <w:cantSplit w:val="true"/>
        </w:trPr>
        <w:tc>
          <w:tcPr>
            <w:tcW w:w="1889" w:type="dxa"/>
          </w:tcPr>
          <w:p>
            <w:pPr>
              <w:pStyle w:val="Compact"/>
              <w:keepLines/>
              <w:jc w:val="left"/>
            </w:pPr>
            <w:r>
              <w:rPr>
                <w:sz w:val="17"/>
              </w:rPr>
              <w:t xml:space="preserve">ENB2012 heating</w:t>
            </w:r>
          </w:p>
        </w:tc>
        <w:tc>
          <w:tcPr>
            <w:tcW w:w="1436" w:type="dxa"/>
          </w:tcPr>
          <w:p>
            <w:pPr>
              <w:pStyle w:val="Compact"/>
              <w:keepLines/>
              <w:jc w:val="left"/>
            </w:pPr>
            <w:r>
              <w:rPr>
                <w:sz w:val="17"/>
              </w:rPr>
              <w:t xml:space="preserve">Gradient boosting</w:t>
            </w:r>
          </w:p>
        </w:tc>
        <w:tc>
          <w:tcPr>
            <w:tcW w:w="755" w:type="dxa"/>
          </w:tcPr>
          <w:p>
            <w:pPr>
              <w:pStyle w:val="Compact"/>
              <w:keepLines/>
              <w:jc w:val="right"/>
            </w:pPr>
            <w:r>
              <w:rPr>
                <w:sz w:val="17"/>
              </w:rPr>
              <w:t xml:space="preserve">13.44</w:t>
            </w:r>
          </w:p>
        </w:tc>
        <w:tc>
          <w:tcPr>
            <w:tcW w:w="1133" w:type="dxa"/>
          </w:tcPr>
          <w:p>
            <w:pPr>
              <w:pStyle w:val="Compact"/>
              <w:keepLines/>
              <w:jc w:val="right"/>
            </w:pPr>
            <w:r>
              <w:rPr>
                <w:sz w:val="17"/>
              </w:rPr>
              <w:t xml:space="preserve">8.53</w:t>
            </w:r>
          </w:p>
        </w:tc>
        <w:tc>
          <w:tcPr>
            <w:tcW w:w="2418" w:type="dxa"/>
          </w:tcPr>
          <w:p>
            <w:pPr>
              <w:pStyle w:val="Compact"/>
              <w:keepLines/>
              <w:jc w:val="right"/>
            </w:pPr>
            <w:r>
              <w:rPr>
                <w:sz w:val="17"/>
              </w:rPr>
              <w:t xml:space="preserve">0.99</w:t>
            </w:r>
          </w:p>
        </w:tc>
        <w:tc>
          <w:tcPr>
            <w:tcW w:w="1436" w:type="dxa"/>
          </w:tcPr>
          <w:p>
            <w:pPr>
              <w:pStyle w:val="Compact"/>
              <w:keepLines/>
              <w:jc w:val="right"/>
            </w:pPr>
            <w:r>
              <w:rPr>
                <w:sz w:val="17"/>
              </w:rPr>
              <w:t xml:space="preserve">0.99</w:t>
            </w:r>
          </w:p>
        </w:tc>
      </w:tr>
      <w:tr>
        <w:trPr>
          <w:cantSplit w:val="true"/>
        </w:trPr>
        <w:tc>
          <w:tcPr>
            <w:tcW w:w="1889" w:type="dxa"/>
          </w:tcPr>
          <w:p>
            <w:pPr>
              <w:pStyle w:val="Compact"/>
              <w:keepLines/>
              <w:jc w:val="left"/>
            </w:pPr>
            <w:r>
              <w:rPr>
                <w:sz w:val="17"/>
              </w:rPr>
              <w:t xml:space="preserve">ENB2012 heating</w:t>
            </w:r>
          </w:p>
        </w:tc>
        <w:tc>
          <w:tcPr>
            <w:tcW w:w="1436" w:type="dxa"/>
          </w:tcPr>
          <w:p>
            <w:pPr>
              <w:pStyle w:val="Compact"/>
              <w:keepLines/>
              <w:jc w:val="left"/>
            </w:pPr>
            <w:r>
              <w:rPr>
                <w:sz w:val="17"/>
              </w:rPr>
              <w:t xml:space="preserve">Ridge</w:t>
            </w:r>
          </w:p>
        </w:tc>
        <w:tc>
          <w:tcPr>
            <w:tcW w:w="755" w:type="dxa"/>
          </w:tcPr>
          <w:p>
            <w:pPr>
              <w:pStyle w:val="Compact"/>
              <w:keepLines/>
              <w:jc w:val="right"/>
            </w:pPr>
            <w:r>
              <w:rPr>
                <w:sz w:val="17"/>
              </w:rPr>
              <w:t xml:space="preserve">1.37</w:t>
            </w:r>
          </w:p>
        </w:tc>
        <w:tc>
          <w:tcPr>
            <w:tcW w:w="1133" w:type="dxa"/>
          </w:tcPr>
          <w:p>
            <w:pPr>
              <w:pStyle w:val="Compact"/>
              <w:keepLines/>
              <w:jc w:val="right"/>
            </w:pPr>
            <w:r>
              <w:rPr>
                <w:sz w:val="17"/>
              </w:rPr>
              <w:t xml:space="preserve">2.89</w:t>
            </w:r>
          </w:p>
        </w:tc>
        <w:tc>
          <w:tcPr>
            <w:tcW w:w="2418" w:type="dxa"/>
          </w:tcPr>
          <w:p>
            <w:pPr>
              <w:pStyle w:val="Compact"/>
              <w:keepLines/>
              <w:jc w:val="right"/>
            </w:pPr>
            <w:r>
              <w:rPr>
                <w:sz w:val="17"/>
              </w:rPr>
              <w:t xml:space="preserve">0.88</w:t>
            </w:r>
          </w:p>
        </w:tc>
        <w:tc>
          <w:tcPr>
            <w:tcW w:w="1436" w:type="dxa"/>
          </w:tcPr>
          <w:p>
            <w:pPr>
              <w:pStyle w:val="Compact"/>
              <w:keepLines/>
              <w:jc w:val="right"/>
            </w:pPr>
            <w:r>
              <w:rPr>
                <w:sz w:val="17"/>
              </w:rPr>
              <w:t xml:space="preserve">0.47</w:t>
            </w:r>
          </w:p>
        </w:tc>
      </w:tr>
      <w:tr>
        <w:trPr>
          <w:cantSplit w:val="true"/>
        </w:trPr>
        <w:tc>
          <w:tcPr>
            <w:tcW w:w="1889" w:type="dxa"/>
          </w:tcPr>
          <w:p>
            <w:pPr>
              <w:pStyle w:val="Compact"/>
              <w:keepLines/>
              <w:jc w:val="left"/>
            </w:pPr>
            <w:r>
              <w:rPr>
                <w:sz w:val="17"/>
              </w:rPr>
              <w:t xml:space="preserve">ENB2012 cooling</w:t>
            </w:r>
          </w:p>
        </w:tc>
        <w:tc>
          <w:tcPr>
            <w:tcW w:w="1436" w:type="dxa"/>
          </w:tcPr>
          <w:p>
            <w:pPr>
              <w:pStyle w:val="Compact"/>
              <w:keepLines/>
              <w:jc w:val="left"/>
            </w:pPr>
            <w:r>
              <w:rPr>
                <w:sz w:val="17"/>
              </w:rPr>
              <w:t xml:space="preserve">Gradient boosting</w:t>
            </w:r>
          </w:p>
        </w:tc>
        <w:tc>
          <w:tcPr>
            <w:tcW w:w="755" w:type="dxa"/>
          </w:tcPr>
          <w:p>
            <w:pPr>
              <w:pStyle w:val="Compact"/>
              <w:keepLines/>
              <w:jc w:val="right"/>
            </w:pPr>
            <w:r>
              <w:rPr>
                <w:sz w:val="17"/>
              </w:rPr>
              <w:t xml:space="preserve">4.62</w:t>
            </w:r>
          </w:p>
        </w:tc>
        <w:tc>
          <w:tcPr>
            <w:tcW w:w="1133" w:type="dxa"/>
          </w:tcPr>
          <w:p>
            <w:pPr>
              <w:pStyle w:val="Compact"/>
              <w:keepLines/>
              <w:jc w:val="right"/>
            </w:pPr>
            <w:r>
              <w:rPr>
                <w:sz w:val="17"/>
              </w:rPr>
              <w:t xml:space="preserve">3.95</w:t>
            </w:r>
          </w:p>
        </w:tc>
        <w:tc>
          <w:tcPr>
            <w:tcW w:w="2418" w:type="dxa"/>
          </w:tcPr>
          <w:p>
            <w:pPr>
              <w:pStyle w:val="Compact"/>
              <w:keepLines/>
              <w:jc w:val="right"/>
            </w:pPr>
            <w:r>
              <w:rPr>
                <w:sz w:val="17"/>
              </w:rPr>
              <w:t xml:space="preserve">0.94</w:t>
            </w:r>
          </w:p>
        </w:tc>
        <w:tc>
          <w:tcPr>
            <w:tcW w:w="1436" w:type="dxa"/>
          </w:tcPr>
          <w:p>
            <w:pPr>
              <w:pStyle w:val="Compact"/>
              <w:keepLines/>
              <w:jc w:val="right"/>
            </w:pPr>
            <w:r>
              <w:rPr>
                <w:sz w:val="17"/>
              </w:rPr>
              <w:t xml:space="preserve">0.95</w:t>
            </w:r>
          </w:p>
        </w:tc>
      </w:tr>
      <w:tr>
        <w:trPr>
          <w:cantSplit w:val="true"/>
        </w:trPr>
        <w:tc>
          <w:tcPr>
            <w:tcW w:w="1889" w:type="dxa"/>
          </w:tcPr>
          <w:p>
            <w:pPr>
              <w:pStyle w:val="Compact"/>
              <w:keepLines/>
              <w:jc w:val="left"/>
            </w:pPr>
            <w:r>
              <w:rPr>
                <w:sz w:val="17"/>
              </w:rPr>
              <w:t xml:space="preserve">ENB2012 cooling</w:t>
            </w:r>
          </w:p>
        </w:tc>
        <w:tc>
          <w:tcPr>
            <w:tcW w:w="1436" w:type="dxa"/>
          </w:tcPr>
          <w:p>
            <w:pPr>
              <w:pStyle w:val="Compact"/>
              <w:keepLines/>
              <w:jc w:val="left"/>
            </w:pPr>
            <w:r>
              <w:rPr>
                <w:sz w:val="17"/>
              </w:rPr>
              <w:t xml:space="preserve">Ridge</w:t>
            </w:r>
          </w:p>
        </w:tc>
        <w:tc>
          <w:tcPr>
            <w:tcW w:w="755" w:type="dxa"/>
          </w:tcPr>
          <w:p>
            <w:pPr>
              <w:pStyle w:val="Compact"/>
              <w:keepLines/>
              <w:jc w:val="right"/>
            </w:pPr>
            <w:r>
              <w:rPr>
                <w:sz w:val="17"/>
              </w:rPr>
              <w:t xml:space="preserve">1.35</w:t>
            </w:r>
          </w:p>
        </w:tc>
        <w:tc>
          <w:tcPr>
            <w:tcW w:w="1133" w:type="dxa"/>
          </w:tcPr>
          <w:p>
            <w:pPr>
              <w:pStyle w:val="Compact"/>
              <w:keepLines/>
              <w:jc w:val="right"/>
            </w:pPr>
            <w:r>
              <w:rPr>
                <w:sz w:val="17"/>
              </w:rPr>
              <w:t xml:space="preserve">2.41</w:t>
            </w:r>
          </w:p>
        </w:tc>
        <w:tc>
          <w:tcPr>
            <w:tcW w:w="2418" w:type="dxa"/>
          </w:tcPr>
          <w:p>
            <w:pPr>
              <w:pStyle w:val="Compact"/>
              <w:keepLines/>
              <w:jc w:val="right"/>
            </w:pPr>
            <w:r>
              <w:rPr>
                <w:sz w:val="17"/>
              </w:rPr>
              <w:t xml:space="preserve">0.83</w:t>
            </w:r>
          </w:p>
        </w:tc>
        <w:tc>
          <w:tcPr>
            <w:tcW w:w="1436" w:type="dxa"/>
          </w:tcPr>
          <w:p>
            <w:pPr>
              <w:pStyle w:val="Compact"/>
              <w:keepLines/>
              <w:jc w:val="right"/>
            </w:pPr>
            <w:r>
              <w:rPr>
                <w:sz w:val="17"/>
              </w:rPr>
              <w:t xml:space="preserve">0.45</w:t>
            </w:r>
          </w:p>
        </w:tc>
      </w:tr>
      <w:tr>
        <w:trPr>
          <w:cantSplit w:val="true"/>
        </w:trPr>
        <w:tc>
          <w:tcPr>
            <w:tcW w:w="1889" w:type="dxa"/>
          </w:tcPr>
          <w:p>
            <w:pPr>
              <w:pStyle w:val="Compact"/>
              <w:keepLines/>
              <w:jc w:val="left"/>
            </w:pPr>
            <w:r>
              <w:rPr>
                <w:sz w:val="17"/>
              </w:rPr>
              <w:t xml:space="preserve">Concrete strength</w:t>
            </w:r>
          </w:p>
        </w:tc>
        <w:tc>
          <w:tcPr>
            <w:tcW w:w="1436" w:type="dxa"/>
          </w:tcPr>
          <w:p>
            <w:pPr>
              <w:pStyle w:val="Compact"/>
              <w:keepLines/>
              <w:jc w:val="left"/>
            </w:pPr>
            <w:r>
              <w:rPr>
                <w:sz w:val="17"/>
              </w:rPr>
              <w:t xml:space="preserve">Gradient boosting</w:t>
            </w:r>
          </w:p>
        </w:tc>
        <w:tc>
          <w:tcPr>
            <w:tcW w:w="755" w:type="dxa"/>
          </w:tcPr>
          <w:p>
            <w:pPr>
              <w:pStyle w:val="Compact"/>
              <w:keepLines/>
              <w:jc w:val="right"/>
            </w:pPr>
            <w:r>
              <w:rPr>
                <w:sz w:val="17"/>
              </w:rPr>
              <w:t xml:space="preserve">1.31</w:t>
            </w:r>
          </w:p>
        </w:tc>
        <w:tc>
          <w:tcPr>
            <w:tcW w:w="1133" w:type="dxa"/>
          </w:tcPr>
          <w:p>
            <w:pPr>
              <w:pStyle w:val="Compact"/>
              <w:keepLines/>
              <w:jc w:val="right"/>
            </w:pPr>
            <w:r>
              <w:rPr>
                <w:sz w:val="17"/>
              </w:rPr>
              <w:t xml:space="preserve">1.80</w:t>
            </w:r>
          </w:p>
        </w:tc>
        <w:tc>
          <w:tcPr>
            <w:tcW w:w="2418" w:type="dxa"/>
          </w:tcPr>
          <w:p>
            <w:pPr>
              <w:pStyle w:val="Compact"/>
              <w:keepLines/>
              <w:jc w:val="right"/>
            </w:pPr>
            <w:r>
              <w:rPr>
                <w:sz w:val="17"/>
              </w:rPr>
              <w:t xml:space="preserve">0.75</w:t>
            </w:r>
          </w:p>
        </w:tc>
        <w:tc>
          <w:tcPr>
            <w:tcW w:w="1436" w:type="dxa"/>
          </w:tcPr>
          <w:p>
            <w:pPr>
              <w:pStyle w:val="Compact"/>
              <w:keepLines/>
              <w:jc w:val="right"/>
            </w:pPr>
            <w:r>
              <w:rPr>
                <w:sz w:val="17"/>
              </w:rPr>
              <w:t xml:space="preserve">0.42</w:t>
            </w:r>
          </w:p>
        </w:tc>
      </w:tr>
      <w:tr>
        <w:trPr>
          <w:cantSplit w:val="true"/>
        </w:trPr>
        <w:tc>
          <w:tcPr>
            <w:tcW w:w="1889" w:type="dxa"/>
          </w:tcPr>
          <w:p>
            <w:pPr>
              <w:pStyle w:val="Compact"/>
              <w:keepLines/>
              <w:jc w:val="left"/>
            </w:pPr>
            <w:r>
              <w:rPr>
                <w:sz w:val="17"/>
              </w:rPr>
              <w:t xml:space="preserve">Concrete strength</w:t>
            </w:r>
          </w:p>
        </w:tc>
        <w:tc>
          <w:tcPr>
            <w:tcW w:w="1436" w:type="dxa"/>
          </w:tcPr>
          <w:p>
            <w:pPr>
              <w:pStyle w:val="Compact"/>
              <w:keepLines/>
              <w:jc w:val="left"/>
            </w:pPr>
            <w:r>
              <w:rPr>
                <w:sz w:val="17"/>
              </w:rPr>
              <w:t xml:space="preserve">Ridge</w:t>
            </w:r>
          </w:p>
        </w:tc>
        <w:tc>
          <w:tcPr>
            <w:tcW w:w="755" w:type="dxa"/>
          </w:tcPr>
          <w:p>
            <w:pPr>
              <w:pStyle w:val="Compact"/>
              <w:keepLines/>
              <w:jc w:val="right"/>
            </w:pPr>
            <w:r>
              <w:rPr>
                <w:sz w:val="17"/>
              </w:rPr>
              <w:t xml:space="preserve">1.00</w:t>
            </w:r>
          </w:p>
        </w:tc>
        <w:tc>
          <w:tcPr>
            <w:tcW w:w="1133" w:type="dxa"/>
          </w:tcPr>
          <w:p>
            <w:pPr>
              <w:pStyle w:val="Compact"/>
              <w:keepLines/>
              <w:jc w:val="right"/>
            </w:pPr>
            <w:r>
              <w:rPr>
                <w:sz w:val="17"/>
              </w:rPr>
              <w:t xml:space="preserve">1.20</w:t>
            </w:r>
          </w:p>
        </w:tc>
        <w:tc>
          <w:tcPr>
            <w:tcW w:w="2418" w:type="dxa"/>
          </w:tcPr>
          <w:p>
            <w:pPr>
              <w:pStyle w:val="Compact"/>
              <w:keepLines/>
              <w:jc w:val="right"/>
            </w:pPr>
            <w:r>
              <w:rPr>
                <w:sz w:val="17"/>
              </w:rPr>
              <w:t xml:space="preserve">0.41</w:t>
            </w:r>
          </w:p>
        </w:tc>
        <w:tc>
          <w:tcPr>
            <w:tcW w:w="1436" w:type="dxa"/>
          </w:tcPr>
          <w:p>
            <w:pPr>
              <w:pStyle w:val="Compact"/>
              <w:keepLines/>
              <w:jc w:val="right"/>
            </w:pPr>
            <w:r>
              <w:rPr>
                <w:sz w:val="17"/>
              </w:rPr>
              <w:t xml:space="preserve">0.01</w:t>
            </w:r>
          </w:p>
        </w:tc>
      </w:tr>
      <w:tr>
        <w:trPr>
          <w:cantSplit w:val="true"/>
        </w:trPr>
        <w:tc>
          <w:tcPr>
            <w:tcW w:w="1889" w:type="dxa"/>
          </w:tcPr>
          <w:p>
            <w:pPr>
              <w:pStyle w:val="Compact"/>
              <w:keepLines/>
              <w:jc w:val="left"/>
            </w:pPr>
            <w:r>
              <w:rPr>
                <w:sz w:val="17"/>
              </w:rPr>
              <w:t xml:space="preserve">Parkinson’s total UPDRS</w:t>
            </w:r>
          </w:p>
        </w:tc>
        <w:tc>
          <w:tcPr>
            <w:tcW w:w="1436" w:type="dxa"/>
          </w:tcPr>
          <w:p>
            <w:pPr>
              <w:pStyle w:val="Compact"/>
              <w:keepLines/>
              <w:jc w:val="left"/>
            </w:pPr>
            <w:r>
              <w:rPr>
                <w:sz w:val="17"/>
              </w:rPr>
              <w:t xml:space="preserve">Gradient boosting</w:t>
            </w:r>
          </w:p>
        </w:tc>
        <w:tc>
          <w:tcPr>
            <w:tcW w:w="755" w:type="dxa"/>
          </w:tcPr>
          <w:p>
            <w:pPr>
              <w:pStyle w:val="Compact"/>
              <w:keepLines/>
              <w:jc w:val="right"/>
            </w:pPr>
            <w:r>
              <w:rPr>
                <w:sz w:val="17"/>
              </w:rPr>
              <w:t xml:space="preserve">3.54</w:t>
            </w:r>
          </w:p>
        </w:tc>
        <w:tc>
          <w:tcPr>
            <w:tcW w:w="1133" w:type="dxa"/>
          </w:tcPr>
          <w:p>
            <w:pPr>
              <w:pStyle w:val="Compact"/>
              <w:keepLines/>
              <w:jc w:val="right"/>
            </w:pPr>
            <w:r>
              <w:rPr>
                <w:sz w:val="17"/>
              </w:rPr>
              <w:t xml:space="preserve">4.01</w:t>
            </w:r>
          </w:p>
        </w:tc>
        <w:tc>
          <w:tcPr>
            <w:tcW w:w="2418" w:type="dxa"/>
          </w:tcPr>
          <w:p>
            <w:pPr>
              <w:pStyle w:val="Compact"/>
              <w:keepLines/>
              <w:jc w:val="right"/>
            </w:pPr>
            <w:r>
              <w:rPr>
                <w:sz w:val="17"/>
              </w:rPr>
              <w:t xml:space="preserve">0.94</w:t>
            </w:r>
          </w:p>
        </w:tc>
        <w:tc>
          <w:tcPr>
            <w:tcW w:w="1436" w:type="dxa"/>
          </w:tcPr>
          <w:p>
            <w:pPr>
              <w:pStyle w:val="Compact"/>
              <w:keepLines/>
              <w:jc w:val="right"/>
            </w:pPr>
            <w:r>
              <w:rPr>
                <w:sz w:val="17"/>
              </w:rPr>
              <w:t xml:space="preserve">0.92</w:t>
            </w:r>
          </w:p>
        </w:tc>
      </w:tr>
      <w:tr>
        <w:trPr>
          <w:cantSplit w:val="true"/>
        </w:trPr>
        <w:tc>
          <w:tcPr>
            <w:tcW w:w="1889" w:type="dxa"/>
          </w:tcPr>
          <w:p>
            <w:pPr>
              <w:pStyle w:val="Compact"/>
              <w:keepLines/>
              <w:jc w:val="left"/>
            </w:pPr>
            <w:r>
              <w:rPr>
                <w:sz w:val="17"/>
              </w:rPr>
              <w:t xml:space="preserve">Parkinson’s total UPDRS</w:t>
            </w:r>
          </w:p>
        </w:tc>
        <w:tc>
          <w:tcPr>
            <w:tcW w:w="1436" w:type="dxa"/>
          </w:tcPr>
          <w:p>
            <w:pPr>
              <w:pStyle w:val="Compact"/>
              <w:keepLines/>
              <w:jc w:val="left"/>
            </w:pPr>
            <w:r>
              <w:rPr>
                <w:sz w:val="17"/>
              </w:rPr>
              <w:t xml:space="preserve">Ridge</w:t>
            </w:r>
          </w:p>
        </w:tc>
        <w:tc>
          <w:tcPr>
            <w:tcW w:w="755" w:type="dxa"/>
          </w:tcPr>
          <w:p>
            <w:pPr>
              <w:pStyle w:val="Compact"/>
              <w:keepLines/>
              <w:jc w:val="right"/>
            </w:pPr>
            <w:r>
              <w:rPr>
                <w:sz w:val="17"/>
              </w:rPr>
              <w:t xml:space="preserve">1.21</w:t>
            </w:r>
          </w:p>
        </w:tc>
        <w:tc>
          <w:tcPr>
            <w:tcW w:w="1133" w:type="dxa"/>
          </w:tcPr>
          <w:p>
            <w:pPr>
              <w:pStyle w:val="Compact"/>
              <w:keepLines/>
              <w:jc w:val="right"/>
            </w:pPr>
            <w:r>
              <w:rPr>
                <w:sz w:val="17"/>
              </w:rPr>
              <w:t xml:space="preserve">3.06</w:t>
            </w:r>
          </w:p>
        </w:tc>
        <w:tc>
          <w:tcPr>
            <w:tcW w:w="2418" w:type="dxa"/>
          </w:tcPr>
          <w:p>
            <w:pPr>
              <w:pStyle w:val="Compact"/>
              <w:keepLines/>
              <w:jc w:val="right"/>
            </w:pPr>
            <w:r>
              <w:rPr>
                <w:sz w:val="17"/>
              </w:rPr>
              <w:t xml:space="preserve">0.89</w:t>
            </w:r>
          </w:p>
        </w:tc>
        <w:tc>
          <w:tcPr>
            <w:tcW w:w="1436" w:type="dxa"/>
          </w:tcPr>
          <w:p>
            <w:pPr>
              <w:pStyle w:val="Compact"/>
              <w:keepLines/>
              <w:jc w:val="right"/>
            </w:pPr>
            <w:r>
              <w:rPr>
                <w:sz w:val="17"/>
              </w:rPr>
              <w:t xml:space="preserve">0.32</w:t>
            </w:r>
          </w:p>
        </w:tc>
      </w:tr>
      <w:tr>
        <w:trPr>
          <w:cantSplit w:val="true"/>
        </w:trPr>
        <w:tc>
          <w:tcPr>
            <w:tcW w:w="1889" w:type="dxa"/>
          </w:tcPr>
          <w:p>
            <w:pPr>
              <w:pStyle w:val="Compact"/>
              <w:keepLines/>
              <w:jc w:val="left"/>
            </w:pPr>
            <w:r>
              <w:rPr>
                <w:sz w:val="17"/>
              </w:rPr>
              <w:t xml:space="preserve">Parkinson’s motor UPDRS</w:t>
            </w:r>
          </w:p>
        </w:tc>
        <w:tc>
          <w:tcPr>
            <w:tcW w:w="1436" w:type="dxa"/>
          </w:tcPr>
          <w:p>
            <w:pPr>
              <w:pStyle w:val="Compact"/>
              <w:keepLines/>
              <w:jc w:val="left"/>
            </w:pPr>
            <w:r>
              <w:rPr>
                <w:sz w:val="17"/>
              </w:rPr>
              <w:t xml:space="preserve">Gradient boosting</w:t>
            </w:r>
          </w:p>
        </w:tc>
        <w:tc>
          <w:tcPr>
            <w:tcW w:w="755" w:type="dxa"/>
          </w:tcPr>
          <w:p>
            <w:pPr>
              <w:pStyle w:val="Compact"/>
              <w:keepLines/>
              <w:jc w:val="right"/>
            </w:pPr>
            <w:r>
              <w:rPr>
                <w:sz w:val="17"/>
              </w:rPr>
              <w:t xml:space="preserve">3.28</w:t>
            </w:r>
          </w:p>
        </w:tc>
        <w:tc>
          <w:tcPr>
            <w:tcW w:w="1133" w:type="dxa"/>
          </w:tcPr>
          <w:p>
            <w:pPr>
              <w:pStyle w:val="Compact"/>
              <w:keepLines/>
              <w:jc w:val="right"/>
            </w:pPr>
            <w:r>
              <w:rPr>
                <w:sz w:val="17"/>
              </w:rPr>
              <w:t xml:space="preserve">3.45</w:t>
            </w:r>
          </w:p>
        </w:tc>
        <w:tc>
          <w:tcPr>
            <w:tcW w:w="2418" w:type="dxa"/>
          </w:tcPr>
          <w:p>
            <w:pPr>
              <w:pStyle w:val="Compact"/>
              <w:keepLines/>
              <w:jc w:val="right"/>
            </w:pPr>
            <w:r>
              <w:rPr>
                <w:sz w:val="17"/>
              </w:rPr>
              <w:t xml:space="preserve">0.92</w:t>
            </w:r>
          </w:p>
        </w:tc>
        <w:tc>
          <w:tcPr>
            <w:tcW w:w="1436" w:type="dxa"/>
          </w:tcPr>
          <w:p>
            <w:pPr>
              <w:pStyle w:val="Compact"/>
              <w:keepLines/>
              <w:jc w:val="right"/>
            </w:pPr>
            <w:r>
              <w:rPr>
                <w:sz w:val="17"/>
              </w:rPr>
              <w:t xml:space="preserve">0.91</w:t>
            </w:r>
          </w:p>
        </w:tc>
      </w:tr>
      <w:tr>
        <w:trPr>
          <w:cantSplit w:val="true"/>
        </w:trPr>
        <w:tc>
          <w:tcPr>
            <w:tcW w:w="1889" w:type="dxa"/>
          </w:tcPr>
          <w:p>
            <w:pPr>
              <w:pStyle w:val="Compact"/>
              <w:keepLines/>
              <w:jc w:val="left"/>
            </w:pPr>
            <w:r>
              <w:rPr>
                <w:sz w:val="17"/>
              </w:rPr>
              <w:t xml:space="preserve">Parkinson’s motor UPDRS</w:t>
            </w:r>
          </w:p>
        </w:tc>
        <w:tc>
          <w:tcPr>
            <w:tcW w:w="1436" w:type="dxa"/>
          </w:tcPr>
          <w:p>
            <w:pPr>
              <w:pStyle w:val="Compact"/>
              <w:keepLines/>
              <w:jc w:val="left"/>
            </w:pPr>
            <w:r>
              <w:rPr>
                <w:sz w:val="17"/>
              </w:rPr>
              <w:t xml:space="preserve">Ridge</w:t>
            </w:r>
          </w:p>
        </w:tc>
        <w:tc>
          <w:tcPr>
            <w:tcW w:w="755" w:type="dxa"/>
          </w:tcPr>
          <w:p>
            <w:pPr>
              <w:pStyle w:val="Compact"/>
              <w:keepLines/>
              <w:jc w:val="right"/>
            </w:pPr>
            <w:r>
              <w:rPr>
                <w:sz w:val="17"/>
              </w:rPr>
              <w:t xml:space="preserve">1.20</w:t>
            </w:r>
          </w:p>
        </w:tc>
        <w:tc>
          <w:tcPr>
            <w:tcW w:w="1133" w:type="dxa"/>
          </w:tcPr>
          <w:p>
            <w:pPr>
              <w:pStyle w:val="Compact"/>
              <w:keepLines/>
              <w:jc w:val="right"/>
            </w:pPr>
            <w:r>
              <w:rPr>
                <w:sz w:val="17"/>
              </w:rPr>
              <w:t xml:space="preserve">2.70</w:t>
            </w:r>
          </w:p>
        </w:tc>
        <w:tc>
          <w:tcPr>
            <w:tcW w:w="2418" w:type="dxa"/>
          </w:tcPr>
          <w:p>
            <w:pPr>
              <w:pStyle w:val="Compact"/>
              <w:keepLines/>
              <w:jc w:val="right"/>
            </w:pPr>
            <w:r>
              <w:rPr>
                <w:sz w:val="17"/>
              </w:rPr>
              <w:t xml:space="preserve">0.86</w:t>
            </w:r>
          </w:p>
        </w:tc>
        <w:tc>
          <w:tcPr>
            <w:tcW w:w="1436" w:type="dxa"/>
          </w:tcPr>
          <w:p>
            <w:pPr>
              <w:pStyle w:val="Compact"/>
              <w:keepLines/>
              <w:jc w:val="right"/>
            </w:pPr>
            <w:r>
              <w:rPr>
                <w:sz w:val="17"/>
              </w:rPr>
              <w:t xml:space="preserve">0.31</w:t>
            </w:r>
          </w:p>
        </w:tc>
      </w:tr>
    </w:tbl>
    <w:p>
      <w:pPr>
        <w:pStyle w:val="BodyText"/>
      </w:pPr>
      <w:r>
        <w:t xml:space="preserve">For ridge regression the observed inflation (1.0–1.4) is far below the value for an idealised memorising learner (1.2–3.1), as expected for a model that cannot isolate groups. For gradient boosting the observed inflation is below the intercept-only value for Concrete (1.31 versus 1.80), Parkinson’s total UPDRS (3.54 versus 4.01) and motor UPDRS (3.28 versus 3.45), so Eq. (6) works as an approximate upper bound and, for Parkinson’s, a close estimate. It is exceeded for ENB2012: 4.62 versus 3.95 for cooling load and 13.4 versus 8.5 for heating load. ENB2012 is a deterministic simulation in which the load of each geometry is a smooth function of orientation and glazing that differs between geometries, so a learner that has seen a geometry can predict it to within a small fraction of the group-level error, and the group-specific component is not only an offset but a whole function. The implied lower bound on the group-specific share (Eq. 11) is 0.99 for heating and 0.95 for cooling, which agrees with the offset share of the held-out error for cooling (0.94) and slightly exceeds it for heating (0.99). For Concrete the implied share is 0.42 against an offset share of 0.75, which indicates that part of the apparent between-mix error is not something the learner can recover from the other rows of the mix.</w:t>
      </w:r>
    </w:p>
    <w:p>
      <w:pPr>
        <w:pStyle w:val="BodyText"/>
      </w:pPr>
      <w:r>
        <w:t xml:space="preserve">Three conclusions follow. First, the ICC of the target is not the right quantity for predicting inflation: ENB2012 and Parkinson’s data have almost identical target ICCs (0.91–0.93) but the inflation of gradient boosting ranges from 3.3 to 13.4. What matters is the share of the residual that a learner can recover from other rows of the group, which depends on the learner and on the noise. Second, an upper bound from random intercepts is informative but is exceeded when groups differ in functional form; Eq. (11) can then be used to quantify how much group-specific structure the observed inflation implies. Third, the cheap diagnostic in Table 15, which needs only the group-held-out residuals of one model, tells a practitioner before any random-split evaluation whether random splitting is likely to be misleading.</w:t>
      </w:r>
    </w:p>
    <w:p>
      <w:pPr>
        <w:pStyle w:val="CaptionedFigure"/>
        <w:keepNext/>
        <w:spacing w:before="120"/>
        <w:jc w:val="center"/>
      </w:pPr>
      <w:r>
        <w:drawing>
          <wp:inline>
            <wp:extent cx="5753100" cy="2556933"/>
            <wp:effectExtent b="0" l="0" r="0" t="0"/>
            <wp:docPr descr="Fig. 11. Theory versus simulation and data. (a) Observed inflation ratio in the synthetic experiment against the prediction of Eq. (6); circles gradient boosting (shade = group size), crosses ridge. (b) Real data: observed inflation of fixed-hyper-parameter gradient boosting, the intercept-only value of Eq. (6) computed from its group-held-out residuals, and observed inflation of ridge regression." title="" id="88" name="Picture"/>
            <a:graphic>
              <a:graphicData uri="http://schemas.openxmlformats.org/drawingml/2006/picture">
                <pic:pic>
                  <pic:nvPicPr>
                    <pic:cNvPr descr="../figures/paper/fig11_theory_validation.png" id="89" name="Picture"/>
                    <pic:cNvPicPr>
                      <a:picLocks noChangeArrowheads="1" noChangeAspect="1"/>
                    </pic:cNvPicPr>
                  </pic:nvPicPr>
                  <pic:blipFill>
                    <a:blip r:embed="rId87"/>
                    <a:stretch>
                      <a:fillRect/>
                    </a:stretch>
                  </pic:blipFill>
                  <pic:spPr bwMode="auto">
                    <a:xfrm>
                      <a:off x="0" y="0"/>
                      <a:ext cx="5753100" cy="2556933"/>
                    </a:xfrm>
                    <a:prstGeom prst="rect">
                      <a:avLst/>
                    </a:prstGeom>
                    <a:noFill/>
                    <a:ln w="9525">
                      <a:noFill/>
                      <a:headEnd/>
                      <a:tailEnd/>
                    </a:ln>
                  </pic:spPr>
                </pic:pic>
              </a:graphicData>
            </a:graphic>
          </wp:inline>
        </w:drawing>
      </w:r>
    </w:p>
    <w:p>
      <w:pPr>
        <w:pStyle w:val="ImageCaption"/>
      </w:pPr>
      <w:r>
        <w:t xml:space="preserve">Fig. 11. Theory versus simulation and data. (a) Observed inflation ratio in the synthetic experiment against the prediction of Eq. (6); circles gradient boosting (shade = group size), crosses ridge. (b) Real data: observed inflation of fixed-hyper-parameter gradient boosting, the intercept-only value of Eq. (6) computed from its group-held-out residuals, and observed inflation of ridge regression.</w:t>
      </w:r>
    </w:p>
    <w:bookmarkEnd w:id="90"/>
    <w:bookmarkEnd w:id="91"/>
    <w:bookmarkStart w:id="97" w:name="tuning-leakage-1"/>
    <w:p>
      <w:pPr>
        <w:pStyle w:val="Heading2"/>
      </w:pPr>
      <w:r>
        <w:rPr>
          <w:rStyle w:val="SectionNumber"/>
        </w:rPr>
        <w:t xml:space="preserve">6.6</w:t>
      </w:r>
      <w:r>
        <w:tab/>
      </w:r>
      <w:r>
        <w:t xml:space="preserve">Tuning leakage</w:t>
      </w:r>
    </w:p>
    <w:bookmarkStart w:id="92" w:name="ablation"/>
    <w:p>
      <w:pPr>
        <w:pStyle w:val="Heading3"/>
      </w:pPr>
      <w:r>
        <w:rPr>
          <w:rStyle w:val="SectionNumber"/>
        </w:rPr>
        <w:t xml:space="preserve">6.6.1</w:t>
      </w:r>
      <w:r>
        <w:tab/>
      </w:r>
      <w:r>
        <w:t xml:space="preserve">Ablation</w:t>
      </w:r>
    </w:p>
    <w:p>
      <w:pPr>
        <w:pStyle w:val="FirstParagraph"/>
      </w:pPr>
      <w:r>
        <w:t xml:space="preserve">Table 16 compares, for each dataset and model, the group-held-out RMSE obtained when hyper-parameters are tuned with group-pure inner folds (the matched protocol) and with random inner folds (the leaky variant). The ratio is the factor by which random inner folds increase the held-out-group error.</w:t>
      </w:r>
    </w:p>
    <w:p>
      <w:pPr>
        <w:pStyle w:val="TableCaption"/>
      </w:pPr>
      <w:r>
        <w:t xml:space="preserve">Table 16. Group-held-out RMSE with group-matched versus random inner folds. Ratio = random inner / group-matched inner. ENB2012 uses leave-one-geometry-out for both targets (Y1 heating, Y2 cooling); Concrete and Parkinson’s use 10 group folds.</w:t>
      </w:r>
    </w:p>
    <w:tbl>
      <w:tblPr>
        <w:tblStyle w:val="Table"/>
        <w:tblW w:w="9071" w:type="dxa"/>
        <w:tblBorders>
          <w:top w:val="single" w:sz="12" w:space="0" w:color="000000"/>
          <w:left w:val="nil"/>
          <w:bottom w:val="single" w:sz="12"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Caption w:val="Table 16. Group-held-out RMSE with group-matched versus random inner folds. Ratio = random inner / group-matched inner. ENB2012 uses leave-one-geometry-out for both targets (Y1 heating, Y2 cooling); Concrete and Parkinson’s use 10 group folds."/>
      </w:tblPr>
      <w:tblGrid>
        <w:gridCol w:w="1787"/>
        <w:gridCol w:w="1456"/>
        <w:gridCol w:w="1456"/>
        <w:gridCol w:w="1456"/>
        <w:gridCol w:w="1456"/>
        <w:gridCol w:w="1456"/>
      </w:tblGrid>
      <w:tr>
        <w:trPr>
          <w:cantSplit w:val="true"/>
          <w:tblHeader w:val="on"/>
          <w:tblHeader w:val="true"/>
        </w:trPr>
        <w:tc>
          <w:tcPr>
            <w:tcW w:w="1787" w:type="dxa"/>
            <w:tcBorders>
              <w:bottom w:val="single" w:sz="6" w:space="0" w:color="000000"/>
            </w:tcBorders>
          </w:tcPr>
          <w:p>
            <w:pPr>
              <w:pStyle w:val="Compact"/>
              <w:keepLines/>
              <w:jc w:val="left"/>
            </w:pPr>
            <w:r>
              <w:rPr>
                <w:b/>
                <w:sz w:val="17"/>
              </w:rPr>
              <w:t xml:space="preserve">Dataset (target)</w:t>
            </w:r>
          </w:p>
        </w:tc>
        <w:tc>
          <w:tcPr>
            <w:tcW w:w="1456" w:type="dxa"/>
            <w:tcBorders>
              <w:bottom w:val="single" w:sz="6" w:space="0" w:color="000000"/>
            </w:tcBorders>
          </w:tcPr>
          <w:p>
            <w:pPr>
              <w:pStyle w:val="Compact"/>
              <w:keepLines/>
              <w:jc w:val="left"/>
            </w:pPr>
            <w:r>
              <w:rPr>
                <w:b/>
                <w:sz w:val="17"/>
              </w:rPr>
              <w:t xml:space="preserve">Ridge</w:t>
            </w:r>
          </w:p>
        </w:tc>
        <w:tc>
          <w:tcPr>
            <w:tcW w:w="1456" w:type="dxa"/>
            <w:tcBorders>
              <w:bottom w:val="single" w:sz="6" w:space="0" w:color="000000"/>
            </w:tcBorders>
          </w:tcPr>
          <w:p>
            <w:pPr>
              <w:pStyle w:val="Compact"/>
              <w:keepLines/>
              <w:jc w:val="left"/>
            </w:pPr>
            <w:r>
              <w:rPr>
                <w:b/>
                <w:sz w:val="17"/>
              </w:rPr>
              <w:t xml:space="preserve">kNN</w:t>
            </w:r>
          </w:p>
        </w:tc>
        <w:tc>
          <w:tcPr>
            <w:tcW w:w="1456" w:type="dxa"/>
            <w:tcBorders>
              <w:bottom w:val="single" w:sz="6" w:space="0" w:color="000000"/>
            </w:tcBorders>
          </w:tcPr>
          <w:p>
            <w:pPr>
              <w:pStyle w:val="Compact"/>
              <w:keepLines/>
              <w:jc w:val="left"/>
            </w:pPr>
            <w:r>
              <w:rPr>
                <w:b/>
                <w:sz w:val="17"/>
              </w:rPr>
              <w:t xml:space="preserve">SVR (RBF)</w:t>
            </w:r>
          </w:p>
        </w:tc>
        <w:tc>
          <w:tcPr>
            <w:tcW w:w="1456" w:type="dxa"/>
            <w:tcBorders>
              <w:bottom w:val="single" w:sz="6" w:space="0" w:color="000000"/>
            </w:tcBorders>
          </w:tcPr>
          <w:p>
            <w:pPr>
              <w:pStyle w:val="Compact"/>
              <w:keepLines/>
              <w:jc w:val="left"/>
            </w:pPr>
            <w:r>
              <w:rPr>
                <w:b/>
                <w:sz w:val="17"/>
              </w:rPr>
              <w:t xml:space="preserve">Random forest</w:t>
            </w:r>
          </w:p>
        </w:tc>
        <w:tc>
          <w:tcPr>
            <w:tcW w:w="1456" w:type="dxa"/>
            <w:tcBorders>
              <w:bottom w:val="single" w:sz="6" w:space="0" w:color="000000"/>
            </w:tcBorders>
          </w:tcPr>
          <w:p>
            <w:pPr>
              <w:pStyle w:val="Compact"/>
              <w:keepLines/>
              <w:jc w:val="left"/>
            </w:pPr>
            <w:r>
              <w:rPr>
                <w:b/>
                <w:sz w:val="17"/>
              </w:rPr>
              <w:t xml:space="preserve">Gradient boosting</w:t>
            </w:r>
          </w:p>
        </w:tc>
      </w:tr>
      <w:tr>
        <w:trPr>
          <w:cantSplit w:val="true"/>
        </w:trPr>
        <w:tc>
          <w:tcPr>
            <w:tcW w:w="1787" w:type="dxa"/>
          </w:tcPr>
          <w:p>
            <w:pPr>
              <w:pStyle w:val="Compact"/>
              <w:keepLines/>
              <w:jc w:val="left"/>
            </w:pPr>
            <w:r>
              <w:rPr>
                <w:sz w:val="17"/>
              </w:rPr>
              <w:t xml:space="preserve">ENB2012 (heating)</w:t>
            </w:r>
          </w:p>
        </w:tc>
        <w:tc>
          <w:tcPr>
            <w:tcW w:w="1456" w:type="dxa"/>
          </w:tcPr>
          <w:p>
            <w:pPr>
              <w:pStyle w:val="Compact"/>
              <w:keepLines/>
              <w:jc w:val="left"/>
            </w:pPr>
            <w:r>
              <w:rPr>
                <w:sz w:val="17"/>
              </w:rPr>
              <w:t xml:space="preserve">3.23 → 3.73 (1.15)</w:t>
            </w:r>
          </w:p>
        </w:tc>
        <w:tc>
          <w:tcPr>
            <w:tcW w:w="1456" w:type="dxa"/>
          </w:tcPr>
          <w:p>
            <w:pPr>
              <w:pStyle w:val="Compact"/>
              <w:keepLines/>
              <w:jc w:val="left"/>
            </w:pPr>
            <w:r>
              <w:rPr>
                <w:sz w:val="17"/>
              </w:rPr>
              <w:t xml:space="preserve">3.66 → 3.75 (1.02)</w:t>
            </w:r>
          </w:p>
        </w:tc>
        <w:tc>
          <w:tcPr>
            <w:tcW w:w="1456" w:type="dxa"/>
          </w:tcPr>
          <w:p>
            <w:pPr>
              <w:pStyle w:val="Compact"/>
              <w:keepLines/>
              <w:jc w:val="left"/>
            </w:pPr>
            <w:r>
              <w:rPr>
                <w:sz w:val="17"/>
              </w:rPr>
              <w:t xml:space="preserve">2.95 → 9.59 (</w:t>
            </w:r>
            <w:r>
              <w:rPr>
                <w:b/>
                <w:bCs/>
                <w:sz w:val="17"/>
              </w:rPr>
              <w:t xml:space="preserve">3.25</w:t>
            </w:r>
            <w:r>
              <w:rPr>
                <w:sz w:val="17"/>
              </w:rPr>
              <w:t xml:space="preserve">)</w:t>
            </w:r>
          </w:p>
        </w:tc>
        <w:tc>
          <w:tcPr>
            <w:tcW w:w="1456" w:type="dxa"/>
          </w:tcPr>
          <w:p>
            <w:pPr>
              <w:pStyle w:val="Compact"/>
              <w:keepLines/>
              <w:jc w:val="left"/>
            </w:pPr>
            <w:r>
              <w:rPr>
                <w:sz w:val="17"/>
              </w:rPr>
              <w:t xml:space="preserve">4.14 → 4.43 (1.07)</w:t>
            </w:r>
          </w:p>
        </w:tc>
        <w:tc>
          <w:tcPr>
            <w:tcW w:w="1456" w:type="dxa"/>
          </w:tcPr>
          <w:p>
            <w:pPr>
              <w:pStyle w:val="Compact"/>
              <w:keepLines/>
              <w:jc w:val="left"/>
            </w:pPr>
            <w:r>
              <w:rPr>
                <w:sz w:val="17"/>
              </w:rPr>
              <w:t xml:space="preserve">3.86 → 4.13 (1.07)</w:t>
            </w:r>
          </w:p>
        </w:tc>
      </w:tr>
      <w:tr>
        <w:trPr>
          <w:cantSplit w:val="true"/>
        </w:trPr>
        <w:tc>
          <w:tcPr>
            <w:tcW w:w="1787" w:type="dxa"/>
          </w:tcPr>
          <w:p>
            <w:pPr>
              <w:pStyle w:val="Compact"/>
              <w:keepLines/>
              <w:jc w:val="left"/>
            </w:pPr>
            <w:r>
              <w:rPr>
                <w:sz w:val="17"/>
              </w:rPr>
              <w:t xml:space="preserve">ENB2012 (cooling)</w:t>
            </w:r>
          </w:p>
        </w:tc>
        <w:tc>
          <w:tcPr>
            <w:tcW w:w="1456" w:type="dxa"/>
          </w:tcPr>
          <w:p>
            <w:pPr>
              <w:pStyle w:val="Compact"/>
              <w:keepLines/>
              <w:jc w:val="left"/>
            </w:pPr>
            <w:r>
              <w:rPr>
                <w:sz w:val="17"/>
              </w:rPr>
              <w:t xml:space="preserve">3.50 → 4.17 (1.19)</w:t>
            </w:r>
          </w:p>
        </w:tc>
        <w:tc>
          <w:tcPr>
            <w:tcW w:w="1456" w:type="dxa"/>
          </w:tcPr>
          <w:p>
            <w:pPr>
              <w:pStyle w:val="Compact"/>
              <w:keepLines/>
              <w:jc w:val="left"/>
            </w:pPr>
            <w:r>
              <w:rPr>
                <w:sz w:val="17"/>
              </w:rPr>
              <w:t xml:space="preserve">4.02 → 4.27 (1.06)</w:t>
            </w:r>
          </w:p>
        </w:tc>
        <w:tc>
          <w:tcPr>
            <w:tcW w:w="1456" w:type="dxa"/>
          </w:tcPr>
          <w:p>
            <w:pPr>
              <w:pStyle w:val="Compact"/>
              <w:keepLines/>
              <w:jc w:val="left"/>
            </w:pPr>
            <w:r>
              <w:rPr>
                <w:sz w:val="17"/>
              </w:rPr>
              <w:t xml:space="preserve">3.31 → 8.91 (</w:t>
            </w:r>
            <w:r>
              <w:rPr>
                <w:b/>
                <w:bCs/>
                <w:sz w:val="17"/>
              </w:rPr>
              <w:t xml:space="preserve">2.69</w:t>
            </w:r>
            <w:r>
              <w:rPr>
                <w:sz w:val="17"/>
              </w:rPr>
              <w:t xml:space="preserve">)</w:t>
            </w:r>
          </w:p>
        </w:tc>
        <w:tc>
          <w:tcPr>
            <w:tcW w:w="1456" w:type="dxa"/>
          </w:tcPr>
          <w:p>
            <w:pPr>
              <w:pStyle w:val="Compact"/>
              <w:keepLines/>
              <w:jc w:val="left"/>
            </w:pPr>
            <w:r>
              <w:rPr>
                <w:sz w:val="17"/>
              </w:rPr>
              <w:t xml:space="preserve">4.82 → 4.77 (0.99)</w:t>
            </w:r>
          </w:p>
        </w:tc>
        <w:tc>
          <w:tcPr>
            <w:tcW w:w="1456" w:type="dxa"/>
          </w:tcPr>
          <w:p>
            <w:pPr>
              <w:pStyle w:val="Compact"/>
              <w:keepLines/>
              <w:jc w:val="left"/>
            </w:pPr>
            <w:r>
              <w:rPr>
                <w:sz w:val="17"/>
              </w:rPr>
              <w:t xml:space="preserve">4.66 → 4.63 (0.99)</w:t>
            </w:r>
          </w:p>
        </w:tc>
      </w:tr>
      <w:tr>
        <w:trPr>
          <w:cantSplit w:val="true"/>
        </w:trPr>
        <w:tc>
          <w:tcPr>
            <w:tcW w:w="1787" w:type="dxa"/>
          </w:tcPr>
          <w:p>
            <w:pPr>
              <w:pStyle w:val="Compact"/>
              <w:keepLines/>
              <w:jc w:val="left"/>
            </w:pPr>
            <w:r>
              <w:rPr>
                <w:sz w:val="17"/>
              </w:rPr>
              <w:t xml:space="preserve">Concrete (strength)</w:t>
            </w:r>
          </w:p>
        </w:tc>
        <w:tc>
          <w:tcPr>
            <w:tcW w:w="1456" w:type="dxa"/>
          </w:tcPr>
          <w:p>
            <w:pPr>
              <w:pStyle w:val="Compact"/>
              <w:keepLines/>
              <w:jc w:val="left"/>
            </w:pPr>
            <w:r>
              <w:rPr>
                <w:sz w:val="17"/>
              </w:rPr>
              <w:t xml:space="preserve">10.55 → 10.54 (1.00)</w:t>
            </w:r>
          </w:p>
        </w:tc>
        <w:tc>
          <w:tcPr>
            <w:tcW w:w="1456" w:type="dxa"/>
          </w:tcPr>
          <w:p>
            <w:pPr>
              <w:pStyle w:val="Compact"/>
              <w:keepLines/>
              <w:jc w:val="left"/>
            </w:pPr>
            <w:r>
              <w:rPr>
                <w:sz w:val="17"/>
              </w:rPr>
              <w:t xml:space="preserve">8.57 → 8.57 (1.00)</w:t>
            </w:r>
          </w:p>
        </w:tc>
        <w:tc>
          <w:tcPr>
            <w:tcW w:w="1456" w:type="dxa"/>
          </w:tcPr>
          <w:p>
            <w:pPr>
              <w:pStyle w:val="Compact"/>
              <w:keepLines/>
              <w:jc w:val="left"/>
            </w:pPr>
            <w:r>
              <w:rPr>
                <w:sz w:val="17"/>
              </w:rPr>
              <w:t xml:space="preserve">6.46 → 6.46 (1.00)</w:t>
            </w:r>
          </w:p>
        </w:tc>
        <w:tc>
          <w:tcPr>
            <w:tcW w:w="1456" w:type="dxa"/>
          </w:tcPr>
          <w:p>
            <w:pPr>
              <w:pStyle w:val="Compact"/>
              <w:keepLines/>
              <w:jc w:val="left"/>
            </w:pPr>
            <w:r>
              <w:rPr>
                <w:sz w:val="17"/>
              </w:rPr>
              <w:t xml:space="preserve">5.91 → 5.90 (1.00)</w:t>
            </w:r>
          </w:p>
        </w:tc>
        <w:tc>
          <w:tcPr>
            <w:tcW w:w="1456" w:type="dxa"/>
          </w:tcPr>
          <w:p>
            <w:pPr>
              <w:pStyle w:val="Compact"/>
              <w:keepLines/>
              <w:jc w:val="left"/>
            </w:pPr>
            <w:r>
              <w:rPr>
                <w:sz w:val="17"/>
              </w:rPr>
              <w:t xml:space="preserve">5.76 → 5.76 (1.00)</w:t>
            </w:r>
          </w:p>
        </w:tc>
      </w:tr>
      <w:tr>
        <w:trPr>
          <w:cantSplit w:val="true"/>
        </w:trPr>
        <w:tc>
          <w:tcPr>
            <w:tcW w:w="1787" w:type="dxa"/>
          </w:tcPr>
          <w:p>
            <w:pPr>
              <w:pStyle w:val="Compact"/>
              <w:keepLines/>
              <w:jc w:val="left"/>
            </w:pPr>
            <w:r>
              <w:rPr>
                <w:sz w:val="17"/>
              </w:rPr>
              <w:t xml:space="preserve">Parkinson’s (total UPDRS)</w:t>
            </w:r>
          </w:p>
        </w:tc>
        <w:tc>
          <w:tcPr>
            <w:tcW w:w="1456" w:type="dxa"/>
          </w:tcPr>
          <w:p>
            <w:pPr>
              <w:pStyle w:val="Compact"/>
              <w:keepLines/>
              <w:jc w:val="left"/>
            </w:pPr>
            <w:r>
              <w:rPr>
                <w:sz w:val="17"/>
              </w:rPr>
              <w:t xml:space="preserve">11.55 → 11.67 (1.01)</w:t>
            </w:r>
          </w:p>
        </w:tc>
        <w:tc>
          <w:tcPr>
            <w:tcW w:w="1456" w:type="dxa"/>
          </w:tcPr>
          <w:p>
            <w:pPr>
              <w:pStyle w:val="Compact"/>
              <w:keepLines/>
              <w:jc w:val="left"/>
            </w:pPr>
            <w:r>
              <w:rPr>
                <w:sz w:val="17"/>
              </w:rPr>
              <w:t xml:space="preserve">12.94 → 13.71 (1.06)</w:t>
            </w:r>
          </w:p>
        </w:tc>
        <w:tc>
          <w:tcPr>
            <w:tcW w:w="1456" w:type="dxa"/>
          </w:tcPr>
          <w:p>
            <w:pPr>
              <w:pStyle w:val="Compact"/>
              <w:keepLines/>
              <w:jc w:val="left"/>
            </w:pPr>
            <w:r>
              <w:rPr>
                <w:sz w:val="17"/>
              </w:rPr>
              <w:t xml:space="preserve">13.34 → 13.74 (1.03)</w:t>
            </w:r>
          </w:p>
        </w:tc>
        <w:tc>
          <w:tcPr>
            <w:tcW w:w="1456" w:type="dxa"/>
          </w:tcPr>
          <w:p>
            <w:pPr>
              <w:pStyle w:val="Compact"/>
              <w:keepLines/>
              <w:jc w:val="left"/>
            </w:pPr>
            <w:r>
              <w:rPr>
                <w:sz w:val="17"/>
              </w:rPr>
              <w:t xml:space="preserve">12.73 → 13.88 (1.09)</w:t>
            </w:r>
          </w:p>
        </w:tc>
        <w:tc>
          <w:tcPr>
            <w:tcW w:w="1456" w:type="dxa"/>
          </w:tcPr>
          <w:p>
            <w:pPr>
              <w:pStyle w:val="Compact"/>
              <w:keepLines/>
              <w:jc w:val="left"/>
            </w:pPr>
            <w:r>
              <w:rPr>
                <w:sz w:val="17"/>
              </w:rPr>
              <w:t xml:space="preserve">12.32 → 13.81 (</w:t>
            </w:r>
            <w:r>
              <w:rPr>
                <w:b/>
                <w:bCs/>
                <w:sz w:val="17"/>
              </w:rPr>
              <w:t xml:space="preserve">1.12</w:t>
            </w:r>
            <w:r>
              <w:rPr>
                <w:sz w:val="17"/>
              </w:rPr>
              <w:t xml:space="preserve">)</w:t>
            </w:r>
          </w:p>
        </w:tc>
      </w:tr>
      <w:tr>
        <w:trPr>
          <w:cantSplit w:val="true"/>
        </w:trPr>
        <w:tc>
          <w:tcPr>
            <w:tcW w:w="1787" w:type="dxa"/>
          </w:tcPr>
          <w:p>
            <w:pPr>
              <w:pStyle w:val="Compact"/>
              <w:keepLines/>
              <w:jc w:val="left"/>
            </w:pPr>
            <w:r>
              <w:rPr>
                <w:sz w:val="17"/>
              </w:rPr>
              <w:t xml:space="preserve">Parkinson’s (motor UPDRS)</w:t>
            </w:r>
          </w:p>
        </w:tc>
        <w:tc>
          <w:tcPr>
            <w:tcW w:w="1456" w:type="dxa"/>
          </w:tcPr>
          <w:p>
            <w:pPr>
              <w:pStyle w:val="Compact"/>
              <w:keepLines/>
              <w:jc w:val="left"/>
            </w:pPr>
            <w:r>
              <w:rPr>
                <w:sz w:val="17"/>
              </w:rPr>
              <w:t xml:space="preserve">8.90 → 8.96 (1.01)</w:t>
            </w:r>
          </w:p>
        </w:tc>
        <w:tc>
          <w:tcPr>
            <w:tcW w:w="1456" w:type="dxa"/>
          </w:tcPr>
          <w:p>
            <w:pPr>
              <w:pStyle w:val="Compact"/>
              <w:keepLines/>
              <w:jc w:val="left"/>
            </w:pPr>
            <w:r>
              <w:rPr>
                <w:sz w:val="17"/>
              </w:rPr>
              <w:t xml:space="preserve">9.63 → 10.16 (1.06)</w:t>
            </w:r>
          </w:p>
        </w:tc>
        <w:tc>
          <w:tcPr>
            <w:tcW w:w="1456" w:type="dxa"/>
          </w:tcPr>
          <w:p>
            <w:pPr>
              <w:pStyle w:val="Compact"/>
              <w:keepLines/>
              <w:jc w:val="left"/>
            </w:pPr>
            <w:r>
              <w:rPr>
                <w:sz w:val="17"/>
              </w:rPr>
              <w:t xml:space="preserve">10.39 → 10.35 (1.00)</w:t>
            </w:r>
          </w:p>
        </w:tc>
        <w:tc>
          <w:tcPr>
            <w:tcW w:w="1456" w:type="dxa"/>
          </w:tcPr>
          <w:p>
            <w:pPr>
              <w:pStyle w:val="Compact"/>
              <w:keepLines/>
              <w:jc w:val="left"/>
            </w:pPr>
            <w:r>
              <w:rPr>
                <w:sz w:val="17"/>
              </w:rPr>
              <w:t xml:space="preserve">9.24 → 9.96 (1.08)</w:t>
            </w:r>
          </w:p>
        </w:tc>
        <w:tc>
          <w:tcPr>
            <w:tcW w:w="1456" w:type="dxa"/>
          </w:tcPr>
          <w:p>
            <w:pPr>
              <w:pStyle w:val="Compact"/>
              <w:keepLines/>
              <w:jc w:val="left"/>
            </w:pPr>
            <w:r>
              <w:rPr>
                <w:sz w:val="17"/>
              </w:rPr>
              <w:t xml:space="preserve">9.41 → 10.07 (1.07)</w:t>
            </w:r>
          </w:p>
        </w:tc>
      </w:tr>
    </w:tbl>
    <w:p>
      <w:pPr>
        <w:pStyle w:val="BodyText"/>
      </w:pPr>
      <w:r>
        <w:t xml:space="preserve">The effect depends on the model and the dataset. For SVR on ENB2012, where the kernel width is a strong determinant of memorisation capacity, random inner folds raise the held-out error by a factor of 2.7–3.3. For ridge regression on ENB2012 the penalty is 15–19%. For the other models and for Parkinson’s the effect is 0–12%, and for Concrete there is none, in line with the weak group structure. Tuning leakage is thus not universal, but when it occurs it can be larger than the effect of switching between model families. An early version of our own ENB2012 pipeline used random inner folds inside grouped outer folds and produced markedly worse grouped scores for the same models (preserved in</w:t>
      </w:r>
      <w:r>
        <w:t xml:space="preserve"> </w:t>
      </w:r>
      <w:r>
        <w:rPr>
          <w:rStyle w:val="VerbatimChar"/>
        </w:rPr>
        <w:t xml:space="preserve">results/v1_preliminary/</w:t>
      </w:r>
      <w:r>
        <w:t xml:space="preserve">, superseded by the matched protocol).</w:t>
      </w:r>
    </w:p>
    <w:bookmarkEnd w:id="92"/>
    <w:bookmarkStart w:id="96" w:name="mechanism"/>
    <w:p>
      <w:pPr>
        <w:pStyle w:val="Heading3"/>
      </w:pPr>
      <w:r>
        <w:rPr>
          <w:rStyle w:val="SectionNumber"/>
        </w:rPr>
        <w:t xml:space="preserve">6.6.2</w:t>
      </w:r>
      <w:r>
        <w:tab/>
      </w:r>
      <w:r>
        <w:t xml:space="preserve">Mechanism</w:t>
      </w:r>
    </w:p>
    <w:p>
      <w:pPr>
        <w:pStyle w:val="FirstParagraph"/>
      </w:pPr>
      <w:r>
        <w:t xml:space="preserve">Fig. 12 shows why. For each of the twelve leave-one-geometry-out folds on ENB2012 we computed, for a grid of kernel widths (</w:t>
      </w:r>
      <m:oMath>
        <m:r>
          <m:t>γ</m:t>
        </m:r>
      </m:oMath>
      <w:r>
        <w:t xml:space="preserve">, SVR with</w:t>
      </w:r>
      <w:r>
        <w:t xml:space="preserve"> </w:t>
      </w:r>
      <m:oMath>
        <m:r>
          <m:t>C</m:t>
        </m:r>
        <m:r>
          <m:rPr>
            <m:sty m:val="p"/>
          </m:rPr>
          <m:t>=</m:t>
        </m:r>
        <m:r>
          <m:t>30</m:t>
        </m:r>
      </m:oMath>
      <w:r>
        <w:t xml:space="preserve">) and neighbour counts (</w:t>
      </w:r>
      <m:oMath>
        <m:r>
          <m:t>k</m:t>
        </m:r>
      </m:oMath>
      <w:r>
        <w:t xml:space="preserve">, kNN), (i) the inner cross-validation error with random folds, (ii) the inner error with group-pure folds and (iii) the true error on the held-out geometry, and averaged the squared errors over the twelve folds.</w:t>
      </w:r>
    </w:p>
    <w:p>
      <w:pPr>
        <w:pStyle w:val="CaptionedFigure"/>
        <w:keepNext/>
        <w:spacing w:before="120"/>
        <w:jc w:val="center"/>
      </w:pPr>
      <w:r>
        <w:drawing>
          <wp:inline>
            <wp:extent cx="5753100" cy="2397125"/>
            <wp:effectExtent b="0" l="0" r="0" t="0"/>
            <wp:docPr descr="Fig. 12. Mechanism of tuning leakage on ENB2012 (heating load, leave-one-geometry-out). For each setting of the capacity parameter, the three curves show the RMSE estimated by inner cross-validation with random folds, by inner cross-validation with group-pure folds, and the true RMSE on the held-out geometry. Circles mark the minimum of each curve." title="" id="94" name="Picture"/>
            <a:graphic>
              <a:graphicData uri="http://schemas.openxmlformats.org/drawingml/2006/picture">
                <pic:pic>
                  <pic:nvPicPr>
                    <pic:cNvPr descr="../figures/paper/fig12_tuning_paths.png" id="95" name="Picture"/>
                    <pic:cNvPicPr>
                      <a:picLocks noChangeArrowheads="1" noChangeAspect="1"/>
                    </pic:cNvPicPr>
                  </pic:nvPicPr>
                  <pic:blipFill>
                    <a:blip r:embed="rId93"/>
                    <a:stretch>
                      <a:fillRect/>
                    </a:stretch>
                  </pic:blipFill>
                  <pic:spPr bwMode="auto">
                    <a:xfrm>
                      <a:off x="0" y="0"/>
                      <a:ext cx="5753100" cy="2397125"/>
                    </a:xfrm>
                    <a:prstGeom prst="rect">
                      <a:avLst/>
                    </a:prstGeom>
                    <a:noFill/>
                    <a:ln w="9525">
                      <a:noFill/>
                      <a:headEnd/>
                      <a:tailEnd/>
                    </a:ln>
                  </pic:spPr>
                </pic:pic>
              </a:graphicData>
            </a:graphic>
          </wp:inline>
        </w:drawing>
      </w:r>
    </w:p>
    <w:p>
      <w:pPr>
        <w:pStyle w:val="ImageCaption"/>
      </w:pPr>
      <w:r>
        <w:t xml:space="preserve">Fig. 12. Mechanism of tuning leakage on ENB2012 (heating load, leave-one-geometry-out). For each setting of the capacity parameter, the three curves show the RMSE estimated by inner cross-validation with random folds, by inner cross-validation with group-pure folds, and the true RMSE on the held-out geometry. Circles mark the minimum of each curve.</w:t>
      </w:r>
    </w:p>
    <w:p>
      <w:pPr>
        <w:pStyle w:val="BodyText"/>
      </w:pPr>
      <w:r>
        <w:t xml:space="preserve">For the SVR, the random-fold inner error decreases with the kernel parameter and is minimised at</w:t>
      </w:r>
      <w:r>
        <w:t xml:space="preserve"> </w:t>
      </w:r>
      <m:oMath>
        <m:r>
          <m:t>γ</m:t>
        </m:r>
        <m:r>
          <m:rPr>
            <m:sty m:val="p"/>
          </m:rPr>
          <m:t>=</m:t>
        </m:r>
        <m:r>
          <m:t>0.3</m:t>
        </m:r>
      </m:oMath>
      <w:r>
        <w:t xml:space="preserve"> </w:t>
      </w:r>
      <w:r>
        <w:t xml:space="preserve">with an RMSE of 1.08 kWh/m², which would select a model whose true held-out RMSE is 7.25 kWh/m². The true error is minimised at the smoothest setting,</w:t>
      </w:r>
      <w:r>
        <w:t xml:space="preserve"> </w:t>
      </w:r>
      <m:oMath>
        <m:r>
          <m:t>γ</m:t>
        </m:r>
        <m:r>
          <m:rPr>
            <m:sty m:val="p"/>
          </m:rPr>
          <m:t>=</m:t>
        </m:r>
        <m:r>
          <m:t>0.003</m:t>
        </m:r>
      </m:oMath>
      <w:r>
        <w:t xml:space="preserve"> </w:t>
      </w:r>
      <w:r>
        <w:t xml:space="preserve">(3.60 kWh/m²), which is also where the group-pure inner error is minimised (4.13). The random-fold inner estimate is not only wrong about the optimum but also wrong about the level: at its chosen setting it underestimates the true error by a factor of 6.7. For kNN the random-fold criterion selects</w:t>
      </w:r>
      <w:r>
        <w:t xml:space="preserve"> </w:t>
      </w:r>
      <m:oMath>
        <m:r>
          <m:t>k</m:t>
        </m:r>
        <m:r>
          <m:rPr>
            <m:sty m:val="p"/>
          </m:rPr>
          <m:t>=</m:t>
        </m:r>
        <m:r>
          <m:t>3</m:t>
        </m:r>
      </m:oMath>
      <w:r>
        <w:t xml:space="preserve"> </w:t>
      </w:r>
      <w:r>
        <w:t xml:space="preserve">(inner RMSE 2.40, true RMSE 5.21), whereas the group-pure criterion selects</w:t>
      </w:r>
      <w:r>
        <w:t xml:space="preserve"> </w:t>
      </w:r>
      <m:oMath>
        <m:r>
          <m:t>k</m:t>
        </m:r>
        <m:r>
          <m:rPr>
            <m:sty m:val="p"/>
          </m:rPr>
          <m:t>=</m:t>
        </m:r>
        <m:r>
          <m:t>65</m:t>
        </m:r>
      </m:oMath>
      <w:r>
        <w:t xml:space="preserve"> </w:t>
      </w:r>
      <w:r>
        <w:t xml:space="preserve">(inner 4.58), close to the true optimum (</w:t>
      </w:r>
      <m:oMath>
        <m:r>
          <m:t>k</m:t>
        </m:r>
        <m:r>
          <m:rPr>
            <m:sty m:val="p"/>
          </m:rPr>
          <m:t>=</m:t>
        </m:r>
        <m:r>
          <m:t>65</m:t>
        </m:r>
      </m:oMath>
      <w:r>
        <w:t xml:space="preserve">, 4.28). The curves also show that group-pure inner folds slightly over-estimate the true error (for example at</w:t>
      </w:r>
      <w:r>
        <w:t xml:space="preserve"> </w:t>
      </w:r>
      <m:oMath>
        <m:r>
          <m:t>k</m:t>
        </m:r>
        <m:r>
          <m:rPr>
            <m:sty m:val="p"/>
          </m:rPr>
          <m:t>=</m:t>
        </m:r>
        <m:r>
          <m:t>65</m:t>
        </m:r>
      </m:oMath>
      <w:r>
        <w:t xml:space="preserve">, 4.58 versus 4.28), because their training sets are smaller (two-thirds of the outer training set), which is the usual pessimistic bias of cross-validation and much smaller than the optimism of random inner folds.</w:t>
      </w:r>
    </w:p>
    <w:p>
      <w:pPr>
        <w:pStyle w:val="BodyText"/>
      </w:pPr>
      <w:r>
        <w:t xml:space="preserve">The curves match the theory in Section 3.5: the random-fold criterion measures a within-group trade-off and favours capacity high enough to resolve individual groups, whereas the group-pure criterion measures a between-group trade-off and favours smooth models. The difference in selected capacity, not merely a difference in the reported estimate, is what degrades the deployed model.</w:t>
      </w:r>
    </w:p>
    <w:bookmarkEnd w:id="96"/>
    <w:bookmarkEnd w:id="97"/>
    <w:bookmarkStart w:id="103" w:name="sensitivity-and-uncertainty"/>
    <w:p>
      <w:pPr>
        <w:pStyle w:val="Heading2"/>
      </w:pPr>
      <w:r>
        <w:rPr>
          <w:rStyle w:val="SectionNumber"/>
        </w:rPr>
        <w:t xml:space="preserve">6.7</w:t>
      </w:r>
      <w:r>
        <w:tab/>
      </w:r>
      <w:r>
        <w:t xml:space="preserve">Sensitivity and uncertainty</w:t>
      </w:r>
    </w:p>
    <w:bookmarkStart w:id="101" w:name="number-of-folds-and-fold-assignment"/>
    <w:p>
      <w:pPr>
        <w:pStyle w:val="Heading3"/>
      </w:pPr>
      <w:r>
        <w:rPr>
          <w:rStyle w:val="SectionNumber"/>
        </w:rPr>
        <w:t xml:space="preserve">6.7.1</w:t>
      </w:r>
      <w:r>
        <w:tab/>
      </w:r>
      <w:r>
        <w:t xml:space="preserve">Number of folds and fold assignment</w:t>
      </w:r>
    </w:p>
    <w:p>
      <w:pPr>
        <w:pStyle w:val="FirstParagraph"/>
      </w:pPr>
      <w:r>
        <w:t xml:space="preserve">We repeated the comparison of random and group-held-out evaluation for fixed-hyper-parameter gradient boosting and ridge regression with different numbers of folds (</w:t>
      </w:r>
      <m:oMath>
        <m:r>
          <m:t>K</m:t>
        </m:r>
        <m:r>
          <m:rPr>
            <m:sty m:val="p"/>
          </m:rPr>
          <m:t>=</m:t>
        </m:r>
        <m:r>
          <m:t>3</m:t>
        </m:r>
      </m:oMath>
      <w:r>
        <w:t xml:space="preserve">–20, depending on the number of groups) and three random assignments of groups to folds (Fig. 13a–c, Table 17).</w:t>
      </w:r>
    </w:p>
    <w:p>
      <w:pPr>
        <w:pStyle w:val="TableCaption"/>
      </w:pPr>
      <w:r>
        <w:t xml:space="preserve">Table 17. Sensitivity of the inflation ratio of gradient boosting (fixed hyper-parameters) to the number of folds</w:t>
      </w:r>
      <w:r>
        <w:t xml:space="preserve"> </w:t>
      </w:r>
      <m:oMath>
        <m:r>
          <m:t>K</m:t>
        </m:r>
      </m:oMath>
      <w:r>
        <w:t xml:space="preserve">. RMSE is the mean over three fold assignments; the standard deviation over assignments is given in parentheses for the group-held-out evaluation.</w:t>
      </w:r>
    </w:p>
    <w:tbl>
      <w:tblPr>
        <w:tblStyle w:val="Table"/>
        <w:tblW w:w="9071" w:type="dxa"/>
        <w:tblBorders>
          <w:top w:val="single" w:sz="12" w:space="0" w:color="000000"/>
          <w:left w:val="nil"/>
          <w:bottom w:val="single" w:sz="12"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Caption w:val="Table 17. Sensitivity of the inflation ratio of gradient boosting (fixed hyper-parameters) to the number of folds K. RMSE is the mean over three fold assignments; the standard deviation over assignments is given in parentheses for the group-held-out evaluation."/>
      </w:tblPr>
      <w:tblGrid>
        <w:gridCol w:w="2524"/>
        <w:gridCol w:w="1870"/>
        <w:gridCol w:w="1215"/>
        <w:gridCol w:w="2431"/>
        <w:gridCol w:w="1028"/>
      </w:tblGrid>
      <w:tr>
        <w:trPr>
          <w:cantSplit w:val="true"/>
          <w:tblHeader w:val="on"/>
          <w:tblHeader w:val="true"/>
        </w:trPr>
        <w:tc>
          <w:tcPr>
            <w:tcW w:w="2524" w:type="dxa"/>
            <w:tcBorders>
              <w:bottom w:val="single" w:sz="6" w:space="0" w:color="000000"/>
            </w:tcBorders>
          </w:tcPr>
          <w:p>
            <w:pPr>
              <w:pStyle w:val="Compact"/>
              <w:keepLines/>
              <w:jc w:val="left"/>
            </w:pPr>
            <w:r>
              <w:rPr>
                <w:b/>
                <w:sz w:val="17"/>
              </w:rPr>
              <w:t xml:space="preserve">Dataset</w:t>
            </w:r>
          </w:p>
        </w:tc>
        <w:tc>
          <w:tcPr>
            <w:tcW w:w="1870" w:type="dxa"/>
            <w:tcBorders>
              <w:bottom w:val="single" w:sz="6" w:space="0" w:color="000000"/>
            </w:tcBorders>
          </w:tcPr>
          <w:p>
            <w:pPr>
              <w:pStyle w:val="Compact"/>
              <w:keepLines/>
              <w:jc w:val="right"/>
            </w:pPr>
            <m:oMath>
              <m:r>
                <m:t>K</m:t>
              </m:r>
            </m:oMath>
          </w:p>
        </w:tc>
        <w:tc>
          <w:tcPr>
            <w:tcW w:w="1215" w:type="dxa"/>
            <w:tcBorders>
              <w:bottom w:val="single" w:sz="6" w:space="0" w:color="000000"/>
            </w:tcBorders>
          </w:tcPr>
          <w:p>
            <w:pPr>
              <w:pStyle w:val="Compact"/>
              <w:keepLines/>
              <w:jc w:val="right"/>
            </w:pPr>
            <w:r>
              <w:rPr>
                <w:b/>
                <w:sz w:val="17"/>
              </w:rPr>
              <w:t xml:space="preserve">Random RMSE</w:t>
            </w:r>
          </w:p>
        </w:tc>
        <w:tc>
          <w:tcPr>
            <w:tcW w:w="2431" w:type="dxa"/>
            <w:tcBorders>
              <w:bottom w:val="single" w:sz="6" w:space="0" w:color="000000"/>
            </w:tcBorders>
          </w:tcPr>
          <w:p>
            <w:pPr>
              <w:pStyle w:val="Compact"/>
              <w:keepLines/>
              <w:jc w:val="right"/>
            </w:pPr>
            <w:r>
              <w:rPr>
                <w:b/>
                <w:sz w:val="17"/>
              </w:rPr>
              <w:t xml:space="preserve">Group-held-out RMSE (SD)</w:t>
            </w:r>
          </w:p>
        </w:tc>
        <w:tc>
          <w:tcPr>
            <w:tcW w:w="1028" w:type="dxa"/>
            <w:tcBorders>
              <w:bottom w:val="single" w:sz="6" w:space="0" w:color="000000"/>
            </w:tcBorders>
          </w:tcPr>
          <w:p>
            <w:pPr>
              <w:pStyle w:val="Compact"/>
              <w:keepLines/>
              <w:jc w:val="right"/>
            </w:pPr>
            <w:r>
              <w:rPr>
                <w:b/>
                <w:sz w:val="17"/>
              </w:rPr>
              <w:t xml:space="preserve">Inflation</w:t>
            </w:r>
            <w:r>
              <w:rPr>
                <w:b/>
                <w:sz w:val="17"/>
              </w:rPr>
              <w:t xml:space="preserve"> </w:t>
            </w:r>
            <m:oMath>
              <m:r>
                <m:t>ρ</m:t>
              </m:r>
            </m:oMath>
          </w:p>
        </w:tc>
      </w:tr>
      <w:tr>
        <w:trPr>
          <w:cantSplit w:val="true"/>
        </w:trPr>
        <w:tc>
          <w:tcPr>
            <w:tcW w:w="2524" w:type="dxa"/>
          </w:tcPr>
          <w:p>
            <w:pPr>
              <w:pStyle w:val="Compact"/>
              <w:keepLines/>
              <w:jc w:val="left"/>
            </w:pPr>
            <w:r>
              <w:rPr>
                <w:sz w:val="17"/>
              </w:rPr>
              <w:t xml:space="preserve">ENB2012 (heating)</w:t>
            </w:r>
          </w:p>
        </w:tc>
        <w:tc>
          <w:tcPr>
            <w:tcW w:w="1870" w:type="dxa"/>
          </w:tcPr>
          <w:p>
            <w:pPr>
              <w:pStyle w:val="Compact"/>
              <w:keepLines/>
              <w:jc w:val="right"/>
            </w:pPr>
            <w:r>
              <w:rPr>
                <w:sz w:val="17"/>
              </w:rPr>
              <w:t xml:space="preserve">3</w:t>
            </w:r>
          </w:p>
        </w:tc>
        <w:tc>
          <w:tcPr>
            <w:tcW w:w="1215" w:type="dxa"/>
          </w:tcPr>
          <w:p>
            <w:pPr>
              <w:pStyle w:val="Compact"/>
              <w:keepLines/>
              <w:jc w:val="right"/>
            </w:pPr>
            <w:r>
              <w:rPr>
                <w:sz w:val="17"/>
              </w:rPr>
              <w:t xml:space="preserve">0.43</w:t>
            </w:r>
          </w:p>
        </w:tc>
        <w:tc>
          <w:tcPr>
            <w:tcW w:w="2431" w:type="dxa"/>
          </w:tcPr>
          <w:p>
            <w:pPr>
              <w:pStyle w:val="Compact"/>
              <w:keepLines/>
              <w:jc w:val="right"/>
            </w:pPr>
            <w:r>
              <w:rPr>
                <w:sz w:val="17"/>
              </w:rPr>
              <w:t xml:space="preserve">6.65 (2.82)</w:t>
            </w:r>
          </w:p>
        </w:tc>
        <w:tc>
          <w:tcPr>
            <w:tcW w:w="1028" w:type="dxa"/>
          </w:tcPr>
          <w:p>
            <w:pPr>
              <w:pStyle w:val="Compact"/>
              <w:keepLines/>
              <w:jc w:val="right"/>
            </w:pPr>
            <w:r>
              <w:rPr>
                <w:sz w:val="17"/>
              </w:rPr>
              <w:t xml:space="preserve">15.5</w:t>
            </w:r>
          </w:p>
        </w:tc>
      </w:tr>
      <w:tr>
        <w:trPr>
          <w:cantSplit w:val="true"/>
        </w:trPr>
        <w:tc>
          <w:tcPr>
            <w:tcW w:w="2524" w:type="dxa"/>
          </w:tcPr>
          <w:p>
            <w:pPr>
              <w:pStyle w:val="Compact"/>
              <w:keepLines/>
              <w:jc w:val="left"/>
            </w:pPr>
            <w:r>
              <w:rPr>
                <w:sz w:val="17"/>
              </w:rPr>
              <w:t xml:space="preserve">ENB2012 (heating)</w:t>
            </w:r>
          </w:p>
        </w:tc>
        <w:tc>
          <w:tcPr>
            <w:tcW w:w="1870" w:type="dxa"/>
          </w:tcPr>
          <w:p>
            <w:pPr>
              <w:pStyle w:val="Compact"/>
              <w:keepLines/>
              <w:jc w:val="right"/>
            </w:pPr>
            <w:r>
              <w:rPr>
                <w:sz w:val="17"/>
              </w:rPr>
              <w:t xml:space="preserve">4</w:t>
            </w:r>
          </w:p>
        </w:tc>
        <w:tc>
          <w:tcPr>
            <w:tcW w:w="1215" w:type="dxa"/>
          </w:tcPr>
          <w:p>
            <w:pPr>
              <w:pStyle w:val="Compact"/>
              <w:keepLines/>
              <w:jc w:val="right"/>
            </w:pPr>
            <w:r>
              <w:rPr>
                <w:sz w:val="17"/>
              </w:rPr>
              <w:t xml:space="preserve">0.42</w:t>
            </w:r>
          </w:p>
        </w:tc>
        <w:tc>
          <w:tcPr>
            <w:tcW w:w="2431" w:type="dxa"/>
          </w:tcPr>
          <w:p>
            <w:pPr>
              <w:pStyle w:val="Compact"/>
              <w:keepLines/>
              <w:jc w:val="right"/>
            </w:pPr>
            <w:r>
              <w:rPr>
                <w:sz w:val="17"/>
              </w:rPr>
              <w:t xml:space="preserve">5.19 (1.63)</w:t>
            </w:r>
          </w:p>
        </w:tc>
        <w:tc>
          <w:tcPr>
            <w:tcW w:w="1028" w:type="dxa"/>
          </w:tcPr>
          <w:p>
            <w:pPr>
              <w:pStyle w:val="Compact"/>
              <w:keepLines/>
              <w:jc w:val="right"/>
            </w:pPr>
            <w:r>
              <w:rPr>
                <w:sz w:val="17"/>
              </w:rPr>
              <w:t xml:space="preserve">12.2</w:t>
            </w:r>
          </w:p>
        </w:tc>
      </w:tr>
      <w:tr>
        <w:trPr>
          <w:cantSplit w:val="true"/>
        </w:trPr>
        <w:tc>
          <w:tcPr>
            <w:tcW w:w="2524" w:type="dxa"/>
          </w:tcPr>
          <w:p>
            <w:pPr>
              <w:pStyle w:val="Compact"/>
              <w:keepLines/>
              <w:jc w:val="left"/>
            </w:pPr>
            <w:r>
              <w:rPr>
                <w:sz w:val="17"/>
              </w:rPr>
              <w:t xml:space="preserve">ENB2012 (heating)</w:t>
            </w:r>
          </w:p>
        </w:tc>
        <w:tc>
          <w:tcPr>
            <w:tcW w:w="1870" w:type="dxa"/>
          </w:tcPr>
          <w:p>
            <w:pPr>
              <w:pStyle w:val="Compact"/>
              <w:keepLines/>
              <w:jc w:val="right"/>
            </w:pPr>
            <w:r>
              <w:rPr>
                <w:sz w:val="17"/>
              </w:rPr>
              <w:t xml:space="preserve">6</w:t>
            </w:r>
          </w:p>
        </w:tc>
        <w:tc>
          <w:tcPr>
            <w:tcW w:w="1215" w:type="dxa"/>
          </w:tcPr>
          <w:p>
            <w:pPr>
              <w:pStyle w:val="Compact"/>
              <w:keepLines/>
              <w:jc w:val="right"/>
            </w:pPr>
            <w:r>
              <w:rPr>
                <w:sz w:val="17"/>
              </w:rPr>
              <w:t xml:space="preserve">0.42</w:t>
            </w:r>
          </w:p>
        </w:tc>
        <w:tc>
          <w:tcPr>
            <w:tcW w:w="2431" w:type="dxa"/>
          </w:tcPr>
          <w:p>
            <w:pPr>
              <w:pStyle w:val="Compact"/>
              <w:keepLines/>
              <w:jc w:val="right"/>
            </w:pPr>
            <w:r>
              <w:rPr>
                <w:sz w:val="17"/>
              </w:rPr>
              <w:t xml:space="preserve">5.91 (1.78)</w:t>
            </w:r>
          </w:p>
        </w:tc>
        <w:tc>
          <w:tcPr>
            <w:tcW w:w="1028" w:type="dxa"/>
          </w:tcPr>
          <w:p>
            <w:pPr>
              <w:pStyle w:val="Compact"/>
              <w:keepLines/>
              <w:jc w:val="right"/>
            </w:pPr>
            <w:r>
              <w:rPr>
                <w:sz w:val="17"/>
              </w:rPr>
              <w:t xml:space="preserve">14.2</w:t>
            </w:r>
          </w:p>
        </w:tc>
      </w:tr>
      <w:tr>
        <w:trPr>
          <w:cantSplit w:val="true"/>
        </w:trPr>
        <w:tc>
          <w:tcPr>
            <w:tcW w:w="2524" w:type="dxa"/>
          </w:tcPr>
          <w:p>
            <w:pPr>
              <w:pStyle w:val="Compact"/>
              <w:keepLines/>
              <w:jc w:val="left"/>
            </w:pPr>
            <w:r>
              <w:rPr>
                <w:sz w:val="17"/>
              </w:rPr>
              <w:t xml:space="preserve">ENB2012 (heating)</w:t>
            </w:r>
          </w:p>
        </w:tc>
        <w:tc>
          <w:tcPr>
            <w:tcW w:w="1870" w:type="dxa"/>
          </w:tcPr>
          <w:p>
            <w:pPr>
              <w:pStyle w:val="Compact"/>
              <w:keepLines/>
              <w:jc w:val="right"/>
            </w:pPr>
            <w:r>
              <w:rPr>
                <w:sz w:val="17"/>
              </w:rPr>
              <w:t xml:space="preserve">12 (leave-one-out)</w:t>
            </w:r>
          </w:p>
        </w:tc>
        <w:tc>
          <w:tcPr>
            <w:tcW w:w="1215" w:type="dxa"/>
          </w:tcPr>
          <w:p>
            <w:pPr>
              <w:pStyle w:val="Compact"/>
              <w:keepLines/>
              <w:jc w:val="right"/>
            </w:pPr>
            <w:r>
              <w:rPr>
                <w:sz w:val="17"/>
              </w:rPr>
              <w:t xml:space="preserve">0.41</w:t>
            </w:r>
          </w:p>
        </w:tc>
        <w:tc>
          <w:tcPr>
            <w:tcW w:w="2431" w:type="dxa"/>
          </w:tcPr>
          <w:p>
            <w:pPr>
              <w:pStyle w:val="Compact"/>
              <w:keepLines/>
              <w:jc w:val="right"/>
            </w:pPr>
            <w:r>
              <w:rPr>
                <w:sz w:val="17"/>
              </w:rPr>
              <w:t xml:space="preserve">5.53 (0.00)</w:t>
            </w:r>
          </w:p>
        </w:tc>
        <w:tc>
          <w:tcPr>
            <w:tcW w:w="1028" w:type="dxa"/>
          </w:tcPr>
          <w:p>
            <w:pPr>
              <w:pStyle w:val="Compact"/>
              <w:keepLines/>
              <w:jc w:val="right"/>
            </w:pPr>
            <w:r>
              <w:rPr>
                <w:sz w:val="17"/>
              </w:rPr>
              <w:t xml:space="preserve">13.5</w:t>
            </w:r>
          </w:p>
        </w:tc>
      </w:tr>
      <w:tr>
        <w:trPr>
          <w:cantSplit w:val="true"/>
        </w:trPr>
        <w:tc>
          <w:tcPr>
            <w:tcW w:w="2524" w:type="dxa"/>
          </w:tcPr>
          <w:p>
            <w:pPr>
              <w:pStyle w:val="Compact"/>
              <w:keepLines/>
              <w:jc w:val="left"/>
            </w:pPr>
            <w:r>
              <w:rPr>
                <w:sz w:val="17"/>
              </w:rPr>
              <w:t xml:space="preserve">Concrete</w:t>
            </w:r>
          </w:p>
        </w:tc>
        <w:tc>
          <w:tcPr>
            <w:tcW w:w="1870" w:type="dxa"/>
          </w:tcPr>
          <w:p>
            <w:pPr>
              <w:pStyle w:val="Compact"/>
              <w:keepLines/>
              <w:jc w:val="right"/>
            </w:pPr>
            <w:r>
              <w:rPr>
                <w:sz w:val="17"/>
              </w:rPr>
              <w:t xml:space="preserve">5</w:t>
            </w:r>
          </w:p>
        </w:tc>
        <w:tc>
          <w:tcPr>
            <w:tcW w:w="1215" w:type="dxa"/>
          </w:tcPr>
          <w:p>
            <w:pPr>
              <w:pStyle w:val="Compact"/>
              <w:keepLines/>
              <w:jc w:val="right"/>
            </w:pPr>
            <w:r>
              <w:rPr>
                <w:sz w:val="17"/>
              </w:rPr>
              <w:t xml:space="preserve">4.74</w:t>
            </w:r>
          </w:p>
        </w:tc>
        <w:tc>
          <w:tcPr>
            <w:tcW w:w="2431" w:type="dxa"/>
          </w:tcPr>
          <w:p>
            <w:pPr>
              <w:pStyle w:val="Compact"/>
              <w:keepLines/>
              <w:jc w:val="right"/>
            </w:pPr>
            <w:r>
              <w:rPr>
                <w:sz w:val="17"/>
              </w:rPr>
              <w:t xml:space="preserve">6.06 (0.11)</w:t>
            </w:r>
          </w:p>
        </w:tc>
        <w:tc>
          <w:tcPr>
            <w:tcW w:w="1028" w:type="dxa"/>
          </w:tcPr>
          <w:p>
            <w:pPr>
              <w:pStyle w:val="Compact"/>
              <w:keepLines/>
              <w:jc w:val="right"/>
            </w:pPr>
            <w:r>
              <w:rPr>
                <w:sz w:val="17"/>
              </w:rPr>
              <w:t xml:space="preserve">1.28</w:t>
            </w:r>
          </w:p>
        </w:tc>
      </w:tr>
      <w:tr>
        <w:trPr>
          <w:cantSplit w:val="true"/>
        </w:trPr>
        <w:tc>
          <w:tcPr>
            <w:tcW w:w="2524" w:type="dxa"/>
          </w:tcPr>
          <w:p>
            <w:pPr>
              <w:pStyle w:val="Compact"/>
              <w:keepLines/>
              <w:jc w:val="left"/>
            </w:pPr>
            <w:r>
              <w:rPr>
                <w:sz w:val="17"/>
              </w:rPr>
              <w:t xml:space="preserve">Concrete</w:t>
            </w:r>
          </w:p>
        </w:tc>
        <w:tc>
          <w:tcPr>
            <w:tcW w:w="1870" w:type="dxa"/>
          </w:tcPr>
          <w:p>
            <w:pPr>
              <w:pStyle w:val="Compact"/>
              <w:keepLines/>
              <w:jc w:val="right"/>
            </w:pPr>
            <w:r>
              <w:rPr>
                <w:sz w:val="17"/>
              </w:rPr>
              <w:t xml:space="preserve">10</w:t>
            </w:r>
          </w:p>
        </w:tc>
        <w:tc>
          <w:tcPr>
            <w:tcW w:w="1215" w:type="dxa"/>
          </w:tcPr>
          <w:p>
            <w:pPr>
              <w:pStyle w:val="Compact"/>
              <w:keepLines/>
              <w:jc w:val="right"/>
            </w:pPr>
            <w:r>
              <w:rPr>
                <w:sz w:val="17"/>
              </w:rPr>
              <w:t xml:space="preserve">4.63</w:t>
            </w:r>
          </w:p>
        </w:tc>
        <w:tc>
          <w:tcPr>
            <w:tcW w:w="2431" w:type="dxa"/>
          </w:tcPr>
          <w:p>
            <w:pPr>
              <w:pStyle w:val="Compact"/>
              <w:keepLines/>
              <w:jc w:val="right"/>
            </w:pPr>
            <w:r>
              <w:rPr>
                <w:sz w:val="17"/>
              </w:rPr>
              <w:t xml:space="preserve">5.82 (0.12)</w:t>
            </w:r>
          </w:p>
        </w:tc>
        <w:tc>
          <w:tcPr>
            <w:tcW w:w="1028" w:type="dxa"/>
          </w:tcPr>
          <w:p>
            <w:pPr>
              <w:pStyle w:val="Compact"/>
              <w:keepLines/>
              <w:jc w:val="right"/>
            </w:pPr>
            <w:r>
              <w:rPr>
                <w:sz w:val="17"/>
              </w:rPr>
              <w:t xml:space="preserve">1.26</w:t>
            </w:r>
          </w:p>
        </w:tc>
      </w:tr>
      <w:tr>
        <w:trPr>
          <w:cantSplit w:val="true"/>
        </w:trPr>
        <w:tc>
          <w:tcPr>
            <w:tcW w:w="2524" w:type="dxa"/>
          </w:tcPr>
          <w:p>
            <w:pPr>
              <w:pStyle w:val="Compact"/>
              <w:keepLines/>
              <w:jc w:val="left"/>
            </w:pPr>
            <w:r>
              <w:rPr>
                <w:sz w:val="17"/>
              </w:rPr>
              <w:t xml:space="preserve">Concrete</w:t>
            </w:r>
          </w:p>
        </w:tc>
        <w:tc>
          <w:tcPr>
            <w:tcW w:w="1870" w:type="dxa"/>
          </w:tcPr>
          <w:p>
            <w:pPr>
              <w:pStyle w:val="Compact"/>
              <w:keepLines/>
              <w:jc w:val="right"/>
            </w:pPr>
            <w:r>
              <w:rPr>
                <w:sz w:val="17"/>
              </w:rPr>
              <w:t xml:space="preserve">20</w:t>
            </w:r>
          </w:p>
        </w:tc>
        <w:tc>
          <w:tcPr>
            <w:tcW w:w="1215" w:type="dxa"/>
          </w:tcPr>
          <w:p>
            <w:pPr>
              <w:pStyle w:val="Compact"/>
              <w:keepLines/>
              <w:jc w:val="right"/>
            </w:pPr>
            <w:r>
              <w:rPr>
                <w:sz w:val="17"/>
              </w:rPr>
              <w:t xml:space="preserve">4.61</w:t>
            </w:r>
          </w:p>
        </w:tc>
        <w:tc>
          <w:tcPr>
            <w:tcW w:w="2431" w:type="dxa"/>
          </w:tcPr>
          <w:p>
            <w:pPr>
              <w:pStyle w:val="Compact"/>
              <w:keepLines/>
              <w:jc w:val="right"/>
            </w:pPr>
            <w:r>
              <w:rPr>
                <w:sz w:val="17"/>
              </w:rPr>
              <w:t xml:space="preserve">5.94 (0.05)</w:t>
            </w:r>
          </w:p>
        </w:tc>
        <w:tc>
          <w:tcPr>
            <w:tcW w:w="1028" w:type="dxa"/>
          </w:tcPr>
          <w:p>
            <w:pPr>
              <w:pStyle w:val="Compact"/>
              <w:keepLines/>
              <w:jc w:val="right"/>
            </w:pPr>
            <w:r>
              <w:rPr>
                <w:sz w:val="17"/>
              </w:rPr>
              <w:t xml:space="preserve">1.29</w:t>
            </w:r>
          </w:p>
        </w:tc>
      </w:tr>
      <w:tr>
        <w:trPr>
          <w:cantSplit w:val="true"/>
        </w:trPr>
        <w:tc>
          <w:tcPr>
            <w:tcW w:w="2524" w:type="dxa"/>
          </w:tcPr>
          <w:p>
            <w:pPr>
              <w:pStyle w:val="Compact"/>
              <w:keepLines/>
              <w:jc w:val="left"/>
            </w:pPr>
            <w:r>
              <w:rPr>
                <w:sz w:val="17"/>
              </w:rPr>
              <w:t xml:space="preserve">Parkinson’s (total UPDRS)</w:t>
            </w:r>
          </w:p>
        </w:tc>
        <w:tc>
          <w:tcPr>
            <w:tcW w:w="1870" w:type="dxa"/>
          </w:tcPr>
          <w:p>
            <w:pPr>
              <w:pStyle w:val="Compact"/>
              <w:keepLines/>
              <w:jc w:val="right"/>
            </w:pPr>
            <w:r>
              <w:rPr>
                <w:sz w:val="17"/>
              </w:rPr>
              <w:t xml:space="preserve">5</w:t>
            </w:r>
          </w:p>
        </w:tc>
        <w:tc>
          <w:tcPr>
            <w:tcW w:w="1215" w:type="dxa"/>
          </w:tcPr>
          <w:p>
            <w:pPr>
              <w:pStyle w:val="Compact"/>
              <w:keepLines/>
              <w:jc w:val="right"/>
            </w:pPr>
            <w:r>
              <w:rPr>
                <w:sz w:val="17"/>
              </w:rPr>
              <w:t xml:space="preserve">3.91</w:t>
            </w:r>
          </w:p>
        </w:tc>
        <w:tc>
          <w:tcPr>
            <w:tcW w:w="2431" w:type="dxa"/>
          </w:tcPr>
          <w:p>
            <w:pPr>
              <w:pStyle w:val="Compact"/>
              <w:keepLines/>
              <w:jc w:val="right"/>
            </w:pPr>
            <w:r>
              <w:rPr>
                <w:sz w:val="17"/>
              </w:rPr>
              <w:t xml:space="preserve">13.04 (0.64)</w:t>
            </w:r>
          </w:p>
        </w:tc>
        <w:tc>
          <w:tcPr>
            <w:tcW w:w="1028" w:type="dxa"/>
          </w:tcPr>
          <w:p>
            <w:pPr>
              <w:pStyle w:val="Compact"/>
              <w:keepLines/>
              <w:jc w:val="right"/>
            </w:pPr>
            <w:r>
              <w:rPr>
                <w:sz w:val="17"/>
              </w:rPr>
              <w:t xml:space="preserve">3.33</w:t>
            </w:r>
          </w:p>
        </w:tc>
      </w:tr>
      <w:tr>
        <w:trPr>
          <w:cantSplit w:val="true"/>
        </w:trPr>
        <w:tc>
          <w:tcPr>
            <w:tcW w:w="2524" w:type="dxa"/>
          </w:tcPr>
          <w:p>
            <w:pPr>
              <w:pStyle w:val="Compact"/>
              <w:keepLines/>
              <w:jc w:val="left"/>
            </w:pPr>
            <w:r>
              <w:rPr>
                <w:sz w:val="17"/>
              </w:rPr>
              <w:t xml:space="preserve">Parkinson’s (total UPDRS)</w:t>
            </w:r>
          </w:p>
        </w:tc>
        <w:tc>
          <w:tcPr>
            <w:tcW w:w="1870" w:type="dxa"/>
          </w:tcPr>
          <w:p>
            <w:pPr>
              <w:pStyle w:val="Compact"/>
              <w:keepLines/>
              <w:jc w:val="right"/>
            </w:pPr>
            <w:r>
              <w:rPr>
                <w:sz w:val="17"/>
              </w:rPr>
              <w:t xml:space="preserve">10</w:t>
            </w:r>
          </w:p>
        </w:tc>
        <w:tc>
          <w:tcPr>
            <w:tcW w:w="1215" w:type="dxa"/>
          </w:tcPr>
          <w:p>
            <w:pPr>
              <w:pStyle w:val="Compact"/>
              <w:keepLines/>
              <w:jc w:val="right"/>
            </w:pPr>
            <w:r>
              <w:rPr>
                <w:sz w:val="17"/>
              </w:rPr>
              <w:t xml:space="preserve">3.89</w:t>
            </w:r>
          </w:p>
        </w:tc>
        <w:tc>
          <w:tcPr>
            <w:tcW w:w="2431" w:type="dxa"/>
          </w:tcPr>
          <w:p>
            <w:pPr>
              <w:pStyle w:val="Compact"/>
              <w:keepLines/>
              <w:jc w:val="right"/>
            </w:pPr>
            <w:r>
              <w:rPr>
                <w:sz w:val="17"/>
              </w:rPr>
              <w:t xml:space="preserve">13.22 (0.21)</w:t>
            </w:r>
          </w:p>
        </w:tc>
        <w:tc>
          <w:tcPr>
            <w:tcW w:w="1028" w:type="dxa"/>
          </w:tcPr>
          <w:p>
            <w:pPr>
              <w:pStyle w:val="Compact"/>
              <w:keepLines/>
              <w:jc w:val="right"/>
            </w:pPr>
            <w:r>
              <w:rPr>
                <w:sz w:val="17"/>
              </w:rPr>
              <w:t xml:space="preserve">3.40</w:t>
            </w:r>
          </w:p>
        </w:tc>
      </w:tr>
      <w:tr>
        <w:trPr>
          <w:cantSplit w:val="true"/>
        </w:trPr>
        <w:tc>
          <w:tcPr>
            <w:tcW w:w="2524" w:type="dxa"/>
          </w:tcPr>
          <w:p>
            <w:pPr>
              <w:pStyle w:val="Compact"/>
              <w:keepLines/>
              <w:jc w:val="left"/>
            </w:pPr>
            <w:r>
              <w:rPr>
                <w:sz w:val="17"/>
              </w:rPr>
              <w:t xml:space="preserve">Parkinson’s (total UPDRS)</w:t>
            </w:r>
          </w:p>
        </w:tc>
        <w:tc>
          <w:tcPr>
            <w:tcW w:w="1870" w:type="dxa"/>
          </w:tcPr>
          <w:p>
            <w:pPr>
              <w:pStyle w:val="Compact"/>
              <w:keepLines/>
              <w:jc w:val="right"/>
            </w:pPr>
            <w:r>
              <w:rPr>
                <w:sz w:val="17"/>
              </w:rPr>
              <w:t xml:space="preserve">20</w:t>
            </w:r>
          </w:p>
        </w:tc>
        <w:tc>
          <w:tcPr>
            <w:tcW w:w="1215" w:type="dxa"/>
          </w:tcPr>
          <w:p>
            <w:pPr>
              <w:pStyle w:val="Compact"/>
              <w:keepLines/>
              <w:jc w:val="right"/>
            </w:pPr>
            <w:r>
              <w:rPr>
                <w:sz w:val="17"/>
              </w:rPr>
              <w:t xml:space="preserve">3.88</w:t>
            </w:r>
          </w:p>
        </w:tc>
        <w:tc>
          <w:tcPr>
            <w:tcW w:w="2431" w:type="dxa"/>
          </w:tcPr>
          <w:p>
            <w:pPr>
              <w:pStyle w:val="Compact"/>
              <w:keepLines/>
              <w:jc w:val="right"/>
            </w:pPr>
            <w:r>
              <w:rPr>
                <w:sz w:val="17"/>
              </w:rPr>
              <w:t xml:space="preserve">13.47 (0.05)</w:t>
            </w:r>
          </w:p>
        </w:tc>
        <w:tc>
          <w:tcPr>
            <w:tcW w:w="1028" w:type="dxa"/>
          </w:tcPr>
          <w:p>
            <w:pPr>
              <w:pStyle w:val="Compact"/>
              <w:keepLines/>
              <w:jc w:val="right"/>
            </w:pPr>
            <w:r>
              <w:rPr>
                <w:sz w:val="17"/>
              </w:rPr>
              <w:t xml:space="preserve">3.47</w:t>
            </w:r>
          </w:p>
        </w:tc>
      </w:tr>
    </w:tbl>
    <w:p>
      <w:pPr>
        <w:pStyle w:val="CaptionedFigure"/>
        <w:keepNext/>
        <w:spacing w:before="120"/>
        <w:jc w:val="center"/>
      </w:pPr>
      <w:r>
        <w:drawing>
          <wp:inline>
            <wp:extent cx="5669280" cy="4251960"/>
            <wp:effectExtent b="0" l="0" r="0" t="0"/>
            <wp:docPr descr="Fig. 13. Sensitivity to the number of folds and precision of group-level estimates. (a–c) RMSE of gradient boosting and ridge regression under random and group-held-out evaluation for different numbers of folds K; error bars are the standard deviation over three fold assignments. (d) Relative half-width of a 95% interval for a mean over G groups, divided by the coefficient of variation of the group-level losses (Eq. 13)." title="" id="99" name="Picture"/>
            <a:graphic>
              <a:graphicData uri="http://schemas.openxmlformats.org/drawingml/2006/picture">
                <pic:pic>
                  <pic:nvPicPr>
                    <pic:cNvPr descr="../figures/paper/fig13_sensitivity.png" id="100" name="Picture"/>
                    <pic:cNvPicPr>
                      <a:picLocks noChangeArrowheads="1" noChangeAspect="1"/>
                    </pic:cNvPicPr>
                  </pic:nvPicPr>
                  <pic:blipFill>
                    <a:blip r:embed="rId98"/>
                    <a:stretch>
                      <a:fillRect/>
                    </a:stretch>
                  </pic:blipFill>
                  <pic:spPr bwMode="auto">
                    <a:xfrm>
                      <a:off x="0" y="0"/>
                      <a:ext cx="5669280" cy="4251960"/>
                    </a:xfrm>
                    <a:prstGeom prst="rect">
                      <a:avLst/>
                    </a:prstGeom>
                    <a:noFill/>
                    <a:ln w="9525">
                      <a:noFill/>
                      <a:headEnd/>
                      <a:tailEnd/>
                    </a:ln>
                  </pic:spPr>
                </pic:pic>
              </a:graphicData>
            </a:graphic>
          </wp:inline>
        </w:drawing>
      </w:r>
    </w:p>
    <w:p>
      <w:pPr>
        <w:pStyle w:val="ImageCaption"/>
      </w:pPr>
      <w:r>
        <w:t xml:space="preserve">Fig. 13. Sensitivity to the number of folds and precision of group-level estimates. (a–c) RMSE of gradient boosting and ridge regression under random and group-held-out evaluation for different numbers of folds</w:t>
      </w:r>
      <w:r>
        <w:t xml:space="preserve"> </w:t>
      </w:r>
      <m:oMath>
        <m:r>
          <m:t>K</m:t>
        </m:r>
      </m:oMath>
      <w:r>
        <w:t xml:space="preserve">; error bars are the standard deviation over three fold assignments. (d) Relative half-width of a 95% interval for a mean over</w:t>
      </w:r>
      <w:r>
        <w:t xml:space="preserve"> </w:t>
      </w:r>
      <m:oMath>
        <m:r>
          <m:t>G</m:t>
        </m:r>
      </m:oMath>
      <w:r>
        <w:t xml:space="preserve"> </w:t>
      </w:r>
      <w:r>
        <w:t xml:space="preserve">groups, divided by the coefficient of variation of the group-level losses (Eq. 13).</w:t>
      </w:r>
    </w:p>
    <w:p>
      <w:pPr>
        <w:pStyle w:val="BodyText"/>
      </w:pPr>
      <w:r>
        <w:t xml:space="preserve">The random-split RMSE is almost independent of</w:t>
      </w:r>
      <w:r>
        <w:t xml:space="preserve"> </w:t>
      </w:r>
      <m:oMath>
        <m:r>
          <m:t>K</m:t>
        </m:r>
      </m:oMath>
      <w:r>
        <w:t xml:space="preserve"> </w:t>
      </w:r>
      <w:r>
        <w:t xml:space="preserve">and of the fold assignment (standard deviation at most 0.14), which is why random splitting gives the impression of a stable estimate. The group-held-out RMSE depends more on the design. For Concrete (427 groups) and Parkinson’s data (42 patients) it is stable (standard deviations 0.05–0.64) and the inflation ratio varies little with</w:t>
      </w:r>
      <w:r>
        <w:t xml:space="preserve"> </w:t>
      </w:r>
      <m:oMath>
        <m:r>
          <m:t>K</m:t>
        </m:r>
      </m:oMath>
      <w:r>
        <w:t xml:space="preserve"> </w:t>
      </w:r>
      <w:r>
        <w:t xml:space="preserve">(1.26–1.29 and 3.33–3.47). For ENB2012, with only twelve geometries, it depends strongly on which geometries are grouped together when</w:t>
      </w:r>
      <w:r>
        <w:t xml:space="preserve"> </w:t>
      </w:r>
      <m:oMath>
        <m:r>
          <m:t>K</m:t>
        </m:r>
        <m:r>
          <m:rPr>
            <m:sty m:val="p"/>
          </m:rPr>
          <m:t>&lt;</m:t>
        </m:r>
        <m:r>
          <m:t>12</m:t>
        </m:r>
      </m:oMath>
      <w:r>
        <w:t xml:space="preserve">: with</w:t>
      </w:r>
      <w:r>
        <w:t xml:space="preserve"> </w:t>
      </w:r>
      <m:oMath>
        <m:r>
          <m:t>K</m:t>
        </m:r>
        <m:r>
          <m:rPr>
            <m:sty m:val="p"/>
          </m:rPr>
          <m:t>=</m:t>
        </m:r>
        <m:r>
          <m:t>3</m:t>
        </m:r>
      </m:oMath>
      <w:r>
        <w:t xml:space="preserve">, the group-held-out RMSE is 6.65 with a standard deviation of 2.82 over fold assignments, because each test fold then contains four geometries and the training set only eight, and the inflation ranges from 12.2 to 15.5 across the settings. Leave-one-geometry-out evaluation removes the dependence on fold assignment and is the preferable choice when the number of groups is small, at the price of higher computational cost.</w:t>
      </w:r>
    </w:p>
    <w:bookmarkEnd w:id="101"/>
    <w:bookmarkStart w:id="102" w:name="Xcdb50f9e408ff2eae0e7e5a53c0569c7cc84960"/>
    <w:p>
      <w:pPr>
        <w:pStyle w:val="Heading3"/>
      </w:pPr>
      <w:r>
        <w:rPr>
          <w:rStyle w:val="SectionNumber"/>
        </w:rPr>
        <w:t xml:space="preserve">6.7.2</w:t>
      </w:r>
      <w:r>
        <w:tab/>
      </w:r>
      <w:r>
        <w:t xml:space="preserve">How precise can group-held-out estimates be?</w:t>
      </w:r>
    </w:p>
    <w:p>
      <w:pPr>
        <w:pStyle w:val="FirstParagraph"/>
      </w:pPr>
      <w:r>
        <w:t xml:space="preserve">The precision of a group-held-out estimate is set by the number of groups (Eq. 13, Fig. 13d). The relative half-width of a 95% interval for a mean over</w:t>
      </w:r>
      <w:r>
        <w:t xml:space="preserve"> </w:t>
      </w:r>
      <m:oMath>
        <m:r>
          <m:t>G</m:t>
        </m:r>
      </m:oMath>
      <w:r>
        <w:t xml:space="preserve"> </w:t>
      </w:r>
      <w:r>
        <w:t xml:space="preserve">groups is</w:t>
      </w:r>
      <w:r>
        <w:t xml:space="preserve"> </w:t>
      </w:r>
      <m:oMath>
        <m:sSub>
          <m:e>
            <m:r>
              <m:t>t</m:t>
            </m:r>
          </m:e>
          <m:sub>
            <m:r>
              <m:t>G</m:t>
            </m:r>
            <m:r>
              <m:rPr>
                <m:sty m:val="p"/>
              </m:rPr>
              <m:t>−</m:t>
            </m:r>
            <m:r>
              <m:t>1</m:t>
            </m:r>
            <m:r>
              <m:rPr>
                <m:sty m:val="p"/>
              </m:rPr>
              <m:t>,</m:t>
            </m:r>
            <m:r>
              <m:t>0.975</m:t>
            </m:r>
          </m:sub>
        </m:sSub>
        <m:r>
          <m:rPr>
            <m:sty m:val="p"/>
          </m:rPr>
          <m:t>/</m:t>
        </m:r>
        <m:rad>
          <m:radPr>
            <m:degHide m:val="on"/>
          </m:radPr>
          <m:deg/>
          <m:e>
            <m:r>
              <m:t>G</m:t>
            </m:r>
          </m:e>
        </m:rad>
      </m:oMath>
      <w:r>
        <w:t xml:space="preserve"> </w:t>
      </w:r>
      <w:r>
        <w:t xml:space="preserve">times the coefficient of variation of the group-level loss: 0.64 for ENB2012, 0.31 for Parkinson’s and 0.10 for Concrete. The bootstrap intervals reported in Tables 7–11 follow this ordering: the relative half-widths of the gradient-boosting intervals under group-held-out evaluation are 0.51 (ENB2012 heating, interval 1.99–5.91 around 3.86), 0.14 (Parkinson’s total UPDRS, 10.45–13.97 around 12.32) and 0.06 (Concrete, 5.43–6.14 around 5.76). The coefficient of variation of the group-level loss is large in all datasets because the difficulty of groups varies greatly (the per-geometry RMSE of gradient boosting ranges from 0.4 to 11 kWh/m²). For ENB2012 the interval is therefore too wide to separate most models, which is why the paired tests are not significant, whereas Concrete has enough groups for even small differences to be detected. The practical rule is that group-held-out comparisons between models require far more groups than rows, and that a dataset with a dozen groups can show the</w:t>
      </w:r>
      <w:r>
        <w:t xml:space="preserve"> </w:t>
      </w:r>
      <w:r>
        <w:rPr>
          <w:i/>
          <w:iCs/>
        </w:rPr>
        <w:t xml:space="preserve">existence</w:t>
      </w:r>
      <w:r>
        <w:t xml:space="preserve"> </w:t>
      </w:r>
      <w:r>
        <w:t xml:space="preserve">of a large inflation but not a precise model ranking.</w:t>
      </w:r>
    </w:p>
    <w:bookmarkEnd w:id="102"/>
    <w:bookmarkEnd w:id="103"/>
    <w:bookmarkStart w:id="107" w:name="ranking-reversal-across-protocols"/>
    <w:p>
      <w:pPr>
        <w:pStyle w:val="Heading2"/>
      </w:pPr>
      <w:r>
        <w:rPr>
          <w:rStyle w:val="SectionNumber"/>
        </w:rPr>
        <w:t xml:space="preserve">6.8</w:t>
      </w:r>
      <w:r>
        <w:tab/>
      </w:r>
      <w:r>
        <w:t xml:space="preserve">Ranking reversal across protocols</w:t>
      </w:r>
    </w:p>
    <w:p>
      <w:pPr>
        <w:pStyle w:val="FirstParagraph"/>
      </w:pPr>
      <w:r>
        <w:t xml:space="preserve">Fig. 14 compares model ranks under random and group-held-out evaluation for the five dataset–target combinations. For ENB2012 the ranking is reversed: gradient boosting, random forest, SVR, kNN and ridge under random splitting become SVR, ridge, kNN, gradient boosting, random forest for heating load and similarly for cooling load; the Kendall rank correlation between the two protocols is</w:t>
      </w:r>
      <w:r>
        <w:t xml:space="preserve"> </w:t>
      </w:r>
      <m:oMath>
        <m:r>
          <m:rPr>
            <m:sty m:val="p"/>
          </m:rPr>
          <m:t>−</m:t>
        </m:r>
        <m:r>
          <m:t>0.4</m:t>
        </m:r>
      </m:oMath>
      <w:r>
        <w:t xml:space="preserve"> </w:t>
      </w:r>
      <w:r>
        <w:t xml:space="preserve">for both targets. For Concrete the ranking is identical (</w:t>
      </w:r>
      <m:oMath>
        <m:r>
          <m:t>τ</m:t>
        </m:r>
        <m:r>
          <m:rPr>
            <m:sty m:val="p"/>
          </m:rPr>
          <m:t>=</m:t>
        </m:r>
        <m:r>
          <m:t>1</m:t>
        </m:r>
      </m:oMath>
      <w:r>
        <w:t xml:space="preserve">). For Parkinson’s the rankings are essentially uncorrelated (</w:t>
      </w:r>
      <m:oMath>
        <m:r>
          <m:t>τ</m:t>
        </m:r>
        <m:r>
          <m:rPr>
            <m:sty m:val="p"/>
          </m:rPr>
          <m:t>=</m:t>
        </m:r>
        <m:r>
          <m:t>0.0</m:t>
        </m:r>
      </m:oMath>
      <w:r>
        <w:t xml:space="preserve"> </w:t>
      </w:r>
      <w:r>
        <w:t xml:space="preserve">for total and</w:t>
      </w:r>
      <w:r>
        <w:t xml:space="preserve"> </w:t>
      </w:r>
      <m:oMath>
        <m:r>
          <m:t>0.2</m:t>
        </m:r>
      </m:oMath>
      <w:r>
        <w:t xml:space="preserve"> </w:t>
      </w:r>
      <w:r>
        <w:t xml:space="preserve">for motor UPDRS), with ridge regression moving from last place under random splitting to first place under patient-held-out evaluation for both targets.</w:t>
      </w:r>
    </w:p>
    <w:p>
      <w:pPr>
        <w:pStyle w:val="CaptionedFigure"/>
        <w:keepNext/>
        <w:spacing w:before="120"/>
        <w:jc w:val="center"/>
      </w:pPr>
      <w:r>
        <w:drawing>
          <wp:inline>
            <wp:extent cx="5753100" cy="2317220"/>
            <wp:effectExtent b="0" l="0" r="0" t="0"/>
            <wp:docPr descr="Fig. 14. Model ranks (1 = lowest RMSE) under random splitting and group-held-out evaluation for the five dataset–target combinations." title="" id="105" name="Picture"/>
            <a:graphic>
              <a:graphicData uri="http://schemas.openxmlformats.org/drawingml/2006/picture">
                <pic:pic>
                  <pic:nvPicPr>
                    <pic:cNvPr descr="../figures/paper/fig14_rank_reversal.png" id="106" name="Picture"/>
                    <pic:cNvPicPr>
                      <a:picLocks noChangeArrowheads="1" noChangeAspect="1"/>
                    </pic:cNvPicPr>
                  </pic:nvPicPr>
                  <pic:blipFill>
                    <a:blip r:embed="rId104"/>
                    <a:stretch>
                      <a:fillRect/>
                    </a:stretch>
                  </pic:blipFill>
                  <pic:spPr bwMode="auto">
                    <a:xfrm>
                      <a:off x="0" y="0"/>
                      <a:ext cx="5753100" cy="2317220"/>
                    </a:xfrm>
                    <a:prstGeom prst="rect">
                      <a:avLst/>
                    </a:prstGeom>
                    <a:noFill/>
                    <a:ln w="9525">
                      <a:noFill/>
                      <a:headEnd/>
                      <a:tailEnd/>
                    </a:ln>
                  </pic:spPr>
                </pic:pic>
              </a:graphicData>
            </a:graphic>
          </wp:inline>
        </w:drawing>
      </w:r>
    </w:p>
    <w:p>
      <w:pPr>
        <w:pStyle w:val="ImageCaption"/>
      </w:pPr>
      <w:r>
        <w:t xml:space="preserve">Fig. 14. Model ranks (1 = lowest RMSE) under random splitting and group-held-out evaluation for the five dataset–target combinations.</w:t>
      </w:r>
    </w:p>
    <w:p>
      <w:pPr>
        <w:pStyle w:val="BodyText"/>
      </w:pPr>
      <w:r>
        <w:t xml:space="preserve">Across the five blocks, a Friedman test finds clear differences between the models under random evaluation (</w:t>
      </w:r>
      <m:oMath>
        <m:sSup>
          <m:e>
            <m:r>
              <m:t>χ</m:t>
            </m:r>
          </m:e>
          <m:sup>
            <m:r>
              <m:t>2</m:t>
            </m:r>
          </m:sup>
        </m:sSup>
        <m:r>
          <m:rPr>
            <m:sty m:val="p"/>
          </m:rPr>
          <m:t>=</m:t>
        </m:r>
        <m:r>
          <m:t>18.1</m:t>
        </m:r>
      </m:oMath>
      <w:r>
        <w:t xml:space="preserve">,</w:t>
      </w:r>
      <w:r>
        <w:t xml:space="preserve"> </w:t>
      </w:r>
      <m:oMath>
        <m:r>
          <m:t>p</m:t>
        </m:r>
        <m:r>
          <m:rPr>
            <m:sty m:val="p"/>
          </m:rPr>
          <m:t>=</m:t>
        </m:r>
        <m:r>
          <m:t>0.001</m:t>
        </m:r>
      </m:oMath>
      <w:r>
        <w:t xml:space="preserve">; mean ranks: gradient boosting 1.4, random forest 1.6, SVR 3.4, kNN 3.6, ridge 5.0) but none under group-held-out evaluation (</w:t>
      </w:r>
      <m:oMath>
        <m:sSup>
          <m:e>
            <m:r>
              <m:t>χ</m:t>
            </m:r>
          </m:e>
          <m:sup>
            <m:r>
              <m:t>2</m:t>
            </m:r>
          </m:sup>
        </m:sSup>
        <m:r>
          <m:rPr>
            <m:sty m:val="p"/>
          </m:rPr>
          <m:t>=</m:t>
        </m:r>
        <m:r>
          <m:t>2.4</m:t>
        </m:r>
      </m:oMath>
      <w:r>
        <w:t xml:space="preserve">,</w:t>
      </w:r>
      <w:r>
        <w:t xml:space="preserve"> </w:t>
      </w:r>
      <m:oMath>
        <m:r>
          <m:t>p</m:t>
        </m:r>
        <m:r>
          <m:rPr>
            <m:sty m:val="p"/>
          </m:rPr>
          <m:t>=</m:t>
        </m:r>
        <m:r>
          <m:t>0.66</m:t>
        </m:r>
      </m:oMath>
      <w:r>
        <w:t xml:space="preserve">; mean ranks: ridge 2.2, gradient boosting 2.8, SVR 3.0, random forest 3.4, kNN 3.6). Random splitting therefore produces a seemingly statistically solid ranking of model families, which disappears once the unit of generalisation is respected. With only five blocks the power of the grouped test is low, and the absence of significance does not demonstrate that the models are equal; it shows that the evidence from these benchmarks does not resolve their order.</w:t>
      </w:r>
    </w:p>
    <w:bookmarkEnd w:id="107"/>
    <w:bookmarkEnd w:id="108"/>
    <w:bookmarkStart w:id="119" w:name="discussion"/>
    <w:p>
      <w:pPr>
        <w:pStyle w:val="Heading1"/>
      </w:pPr>
      <w:r>
        <w:rPr>
          <w:rStyle w:val="SectionNumber"/>
        </w:rPr>
        <w:t xml:space="preserve">7</w:t>
      </w:r>
      <w:r>
        <w:tab/>
      </w:r>
      <w:r>
        <w:t xml:space="preserve">Discussion</w:t>
      </w:r>
    </w:p>
    <w:bookmarkStart w:id="109" w:name="what-random-split-scores-measure"/>
    <w:p>
      <w:pPr>
        <w:pStyle w:val="Heading2"/>
      </w:pPr>
      <w:r>
        <w:rPr>
          <w:rStyle w:val="SectionNumber"/>
        </w:rPr>
        <w:t xml:space="preserve">7.1</w:t>
      </w:r>
      <w:r>
        <w:tab/>
      </w:r>
      <w:r>
        <w:t xml:space="preserve">What random-split scores measure</w:t>
      </w:r>
    </w:p>
    <w:p>
      <w:pPr>
        <w:pStyle w:val="FirstParagraph"/>
      </w:pPr>
      <w:r>
        <w:t xml:space="preserve">The central empirical finding is that on datasets with large, tight groups, random-split accuracy mostly measures recognition of the group. The Parkinson’s feature-set experiment (Section 6.3) is the sharpest illustration: three features that contain no voice information at all, namely age, sex and the number of days since recruitment, allow a random forest to predict total UPDRS with an RMSE of 0.17 under random splitting, against a target standard deviation of 10.7, and the same features give 11–14 UPDRS points of error on new patients. Age and sex identify the patient and the recruitment day places the recording on that patient’s trajectory, so a model that has seen other recordings of the patient can interpolate in time. The score is real in the sense that it is reproducible under random splitting; it is meaningless as a statement about the usefulness of the features for a new patient. In ENB2012 the mechanism is the same but benign in intent: the geometry attributes identify one of twelve designs, and the model learns the load of each design as a function of orientation and glazing.</w:t>
      </w:r>
    </w:p>
    <w:p>
      <w:pPr>
        <w:pStyle w:val="BodyText"/>
      </w:pPr>
      <w:r>
        <w:t xml:space="preserve">The theory in Section 3 explains the order of magnitude. A learner that can exploit group-specific structure approaches an inflation ratio of</w:t>
      </w:r>
      <w:r>
        <w:t xml:space="preserve"> </w:t>
      </w:r>
      <m:oMath>
        <m:r>
          <m:t>1</m:t>
        </m:r>
        <m:r>
          <m:rPr>
            <m:sty m:val="p"/>
          </m:rPr>
          <m:t>/</m:t>
        </m:r>
        <m:rad>
          <m:radPr>
            <m:degHide m:val="on"/>
          </m:radPr>
          <m:deg/>
          <m:e>
            <m:r>
              <m:t>1</m:t>
            </m:r>
            <m:r>
              <m:rPr>
                <m:sty m:val="p"/>
              </m:rPr>
              <m:t>−</m:t>
            </m:r>
            <m:sSub>
              <m:e>
                <m:r>
                  <m:t>r</m:t>
                </m:r>
              </m:e>
              <m:sub>
                <m:r>
                  <m:t>G</m:t>
                </m:r>
              </m:sub>
            </m:sSub>
          </m:e>
        </m:rad>
      </m:oMath>
      <w:r>
        <w:t xml:space="preserve">, where</w:t>
      </w:r>
      <w:r>
        <w:t xml:space="preserve"> </w:t>
      </w:r>
      <m:oMath>
        <m:sSub>
          <m:e>
            <m:r>
              <m:t>r</m:t>
            </m:r>
          </m:e>
          <m:sub>
            <m:r>
              <m:t>G</m:t>
            </m:r>
          </m:sub>
        </m:sSub>
      </m:oMath>
      <w:r>
        <w:t xml:space="preserve"> </w:t>
      </w:r>
      <w:r>
        <w:t xml:space="preserve">is the share of the residual variance that is group-specific; for an ICC of 0.9 that is 3.2, and for the deterministic ENB2012 data, where the within-group residual of a well-fitting model is tiny, the share approaches one and the ratio is limited only by the learner’s approximation error. The synthetic simulation confirms the formulae when the group effect is a random intercept; the real data show that group-by-feature interactions can push the inflation beyond what an intercept-only account predicts (Section 6.5). In both cases the quantity that governs the inflation is not the number of rows but the fraction of the residual variance that is attributable to the group and the capacity of the learner to exploit it.</w:t>
      </w:r>
    </w:p>
    <w:bookmarkEnd w:id="109"/>
    <w:bookmarkStart w:id="110" w:name="why-rankings-change"/>
    <w:p>
      <w:pPr>
        <w:pStyle w:val="Heading2"/>
      </w:pPr>
      <w:r>
        <w:rPr>
          <w:rStyle w:val="SectionNumber"/>
        </w:rPr>
        <w:t xml:space="preserve">7.2</w:t>
      </w:r>
      <w:r>
        <w:tab/>
      </w:r>
      <w:r>
        <w:t xml:space="preserve">Why rankings change</w:t>
      </w:r>
    </w:p>
    <w:p>
      <w:pPr>
        <w:pStyle w:val="FirstParagraph"/>
      </w:pPr>
      <w:r>
        <w:t xml:space="preserve">The ranking of model families changes between protocols because the families differ in how much group-specific structure they can exploit, and not in how well they capture the shared signal. Tree ensembles partition the feature space into cells and assign each cell a constant; when group-identifying attributes are available, a cell can coincide with a group, and the model recovers the group’s offset and its within-group response. Smooth models, in contrast, share parameters across the whole feature space and cannot isolate a group unless the kernel is very narrow. When a new group arrives, the tree ensemble predicts it from the nearest cells, which belong to other groups; a smooth model extrapolates a trend. In ENB2012 this difference is visible in the per-geometry errors: tree ensembles predict geometry 7, the first 3.5 m building, with an error of about 10 kWh/m², whereas SVR predicts it with 0.9. Where the shared signal is weak and noisy relative to patient-specific offsets, as in Parkinson’s data, none of the models extracts enough, and the ranking is essentially noise (Kendall</w:t>
      </w:r>
      <w:r>
        <w:t xml:space="preserve"> </w:t>
      </w:r>
      <m:oMath>
        <m:r>
          <m:t>τ</m:t>
        </m:r>
        <m:r>
          <m:rPr>
            <m:sty m:val="p"/>
          </m:rPr>
          <m:t>≈</m:t>
        </m:r>
        <m:r>
          <m:t>0</m:t>
        </m:r>
      </m:oMath>
      <w:r>
        <w:t xml:space="preserve">), although ridge regression benefits from its small variance and ends up first.</w:t>
      </w:r>
    </w:p>
    <w:p>
      <w:pPr>
        <w:pStyle w:val="BodyText"/>
      </w:pPr>
      <w:r>
        <w:t xml:space="preserve">The practical consequence is that a benchmark leaderboard computed with random splits answers the question</w:t>
      </w:r>
      <w:r>
        <w:t xml:space="preserve"> </w:t>
      </w:r>
      <w:r>
        <w:t xml:space="preserve">“which model best memorises these groups?”</w:t>
      </w:r>
      <w:r>
        <w:t xml:space="preserve"> </w:t>
      </w:r>
      <w:r>
        <w:t xml:space="preserve">and not</w:t>
      </w:r>
      <w:r>
        <w:t xml:space="preserve"> </w:t>
      </w:r>
      <w:r>
        <w:t xml:space="preserve">“which model best predicts a new group?”</w:t>
      </w:r>
      <w:r>
        <w:t xml:space="preserve">. Because the Friedman test finds a statistically clear ranking under random splitting (p = 0.001) and none under grouped evaluation (p = 0.66), random splitting gives an impression of resolved differences that the data cannot support.</w:t>
      </w:r>
    </w:p>
    <w:bookmarkEnd w:id="110"/>
    <w:bookmarkStart w:id="111" w:name="the-no-skill-reference-and-calibration"/>
    <w:p>
      <w:pPr>
        <w:pStyle w:val="Heading2"/>
      </w:pPr>
      <w:r>
        <w:rPr>
          <w:rStyle w:val="SectionNumber"/>
        </w:rPr>
        <w:t xml:space="preserve">7.3</w:t>
      </w:r>
      <w:r>
        <w:tab/>
      </w:r>
      <w:r>
        <w:t xml:space="preserve">The no-skill reference and calibration</w:t>
      </w:r>
    </w:p>
    <w:p>
      <w:pPr>
        <w:pStyle w:val="FirstParagraph"/>
      </w:pPr>
      <w:r>
        <w:t xml:space="preserve">A group-held-out RMSE of 12 UPDRS points on Parkinson’s data does not look alarming until it is compared with the 10.9 points that a constant would achieve. We therefore recommend reporting the training-mean predictor (or another simple baseline that uses no features) under the same split, and the corresponding skill score, as a standard element of any benchmark with grouped data. A model with negative skill should not be deployed for new units, however good its random-split score.</w:t>
      </w:r>
    </w:p>
    <w:p>
      <w:pPr>
        <w:pStyle w:val="BodyText"/>
      </w:pPr>
      <w:r>
        <w:t xml:space="preserve">The per-patient analysis shows where the error comes from: between 89% and 94% of the squared error of the models on held-out patients is a patient-level offset, that is, the mean error over the recordings of a patient (Section 6.3). Voice measures appear to carry information about changes within a patient, but the models cannot place a new patient at the right level. A few calibration recordings with known scores do remove most of this error (Section 6.3), but the patient’s own running mean over the same recordings is better than every model at every calibration size, so the gain comes from knowing the patient’s level and not from the voice features. The same reasoning applies to any domain in which units differ by offsets that cannot be inferred from features: a calibration experiment is only informative if it includes a model-free reference that uses the same calibration rows.</w:t>
      </w:r>
    </w:p>
    <w:bookmarkEnd w:id="111"/>
    <w:bookmarkStart w:id="112" w:name="tuning-is-part-of-the-problem"/>
    <w:p>
      <w:pPr>
        <w:pStyle w:val="Heading2"/>
      </w:pPr>
      <w:r>
        <w:rPr>
          <w:rStyle w:val="SectionNumber"/>
        </w:rPr>
        <w:t xml:space="preserve">7.4</w:t>
      </w:r>
      <w:r>
        <w:tab/>
      </w:r>
      <w:r>
        <w:t xml:space="preserve">Tuning is part of the problem</w:t>
      </w:r>
    </w:p>
    <w:p>
      <w:pPr>
        <w:pStyle w:val="FirstParagraph"/>
      </w:pPr>
      <w:r>
        <w:t xml:space="preserve">Tuning leakage is the part of the problem that is easiest to overlook, because the final evaluation can be correct while the model that is evaluated has been selected badly. With random inner folds, support-vector regression on ENB2012 selects a kernel width that is optimal for within-geometry interpolation and not for new geometries; its held-out RMSE is then up to three times larger than with group-pure inner folds (Section 6.6). The inner-error curves in Fig. 12 show the mechanism: with random folds the inner error is minimised at the narrowest kernel and the lowest-complexity neighbour count that stays within a group, while the true held-out error is minimised at much smoother settings. Models that are insensitive to this choice, such as tree ensembles with the small grids used here, are less affected, but they pay with the higher memorisation capacity discussed above. Whenever groups exist, inner folds should be group-pure: this is a modelling decision and not just an evaluation detail.</w:t>
      </w:r>
    </w:p>
    <w:bookmarkEnd w:id="112"/>
    <w:bookmarkStart w:id="116" w:name="a-practical-checklist"/>
    <w:p>
      <w:pPr>
        <w:pStyle w:val="Heading2"/>
      </w:pPr>
      <w:r>
        <w:rPr>
          <w:rStyle w:val="SectionNumber"/>
        </w:rPr>
        <w:t xml:space="preserve">7.5</w:t>
      </w:r>
      <w:r>
        <w:tab/>
      </w:r>
      <w:r>
        <w:t xml:space="preserve">A practical checklist</w:t>
      </w:r>
    </w:p>
    <w:p>
      <w:pPr>
        <w:pStyle w:val="FirstParagraph"/>
      </w:pPr>
      <w:r>
        <w:t xml:space="preserve">Fig. 15 and Table 18 translate the findings into a checklist for researchers who use public tabular benchmarks or who publish new ones.</w:t>
      </w:r>
    </w:p>
    <w:p>
      <w:pPr>
        <w:pStyle w:val="TableCaption"/>
      </w:pPr>
      <w:r>
        <w:t xml:space="preserve">Table 18. Checklist for evaluating regression models on data with possible groups.</w:t>
      </w:r>
    </w:p>
    <w:tbl>
      <w:tblPr>
        <w:tblStyle w:val="Table"/>
        <w:tblW w:w="9071" w:type="dxa"/>
        <w:tblBorders>
          <w:top w:val="single" w:sz="12" w:space="0" w:color="000000"/>
          <w:left w:val="nil"/>
          <w:bottom w:val="single" w:sz="12" w:space="0" w:color="000000"/>
          <w:right w:val="nil"/>
          <w:insideH w:val="nil"/>
          <w:insideV w:val="nil"/>
        </w:tblBorders>
        <w:tblLayout w:type="fixed"/>
        <w:tblCellMar>
          <w:top w:w="20" w:type="dxa"/>
          <w:left w:w="60" w:type="dxa"/>
          <w:bottom w:w="20" w:type="dxa"/>
          <w:right w:w="60" w:type="dxa"/>
        </w:tblCellMar>
        <w:tblLook w:firstRow="1" w:lastRow="0" w:firstColumn="0" w:lastColumn="0" w:noHBand="0" w:noVBand="0" w:val="0020"/>
        <w:tblCaption w:val="Table 18. Checklist for evaluating regression models on data with possible groups."/>
      </w:tblPr>
      <w:tblGrid>
        <w:gridCol w:w="671"/>
        <w:gridCol w:w="4199"/>
        <w:gridCol w:w="4199"/>
      </w:tblGrid>
      <w:tr>
        <w:trPr>
          <w:cantSplit w:val="true"/>
          <w:tblHeader w:val="on"/>
          <w:tblHeader w:val="true"/>
        </w:trPr>
        <w:tc>
          <w:tcPr>
            <w:tcW w:w="671" w:type="dxa"/>
            <w:tcBorders>
              <w:bottom w:val="single" w:sz="6" w:space="0" w:color="000000"/>
            </w:tcBorders>
          </w:tcPr>
          <w:p>
            <w:pPr>
              <w:pStyle w:val="Compact"/>
              <w:keepLines/>
              <w:jc w:val="left"/>
            </w:pPr>
            <w:r>
              <w:rPr>
                <w:b/>
                <w:sz w:val="17"/>
              </w:rPr>
              <w:t xml:space="preserve">Step</w:t>
            </w:r>
          </w:p>
        </w:tc>
        <w:tc>
          <w:tcPr>
            <w:tcW w:w="4199" w:type="dxa"/>
            <w:tcBorders>
              <w:bottom w:val="single" w:sz="6" w:space="0" w:color="000000"/>
            </w:tcBorders>
          </w:tcPr>
          <w:p>
            <w:pPr>
              <w:pStyle w:val="Compact"/>
              <w:keepLines/>
              <w:jc w:val="left"/>
            </w:pPr>
            <w:r>
              <w:rPr>
                <w:b/>
                <w:sz w:val="17"/>
              </w:rPr>
              <w:t xml:space="preserve">Question</w:t>
            </w:r>
          </w:p>
        </w:tc>
        <w:tc>
          <w:tcPr>
            <w:tcW w:w="4199" w:type="dxa"/>
            <w:tcBorders>
              <w:bottom w:val="single" w:sz="6" w:space="0" w:color="000000"/>
            </w:tcBorders>
          </w:tcPr>
          <w:p>
            <w:pPr>
              <w:pStyle w:val="Compact"/>
              <w:keepLines/>
              <w:jc w:val="left"/>
            </w:pPr>
            <w:r>
              <w:rPr>
                <w:b/>
                <w:sz w:val="17"/>
              </w:rPr>
              <w:t xml:space="preserve">Action</w:t>
            </w:r>
          </w:p>
        </w:tc>
      </w:tr>
      <w:tr>
        <w:trPr>
          <w:cantSplit w:val="true"/>
        </w:trPr>
        <w:tc>
          <w:tcPr>
            <w:tcW w:w="671" w:type="dxa"/>
          </w:tcPr>
          <w:p>
            <w:pPr>
              <w:pStyle w:val="Compact"/>
              <w:keepLines/>
              <w:jc w:val="left"/>
            </w:pPr>
            <w:r>
              <w:rPr>
                <w:sz w:val="17"/>
              </w:rPr>
              <w:t xml:space="preserve">1</w:t>
            </w:r>
          </w:p>
        </w:tc>
        <w:tc>
          <w:tcPr>
            <w:tcW w:w="4199" w:type="dxa"/>
          </w:tcPr>
          <w:p>
            <w:pPr>
              <w:pStyle w:val="Compact"/>
              <w:keepLines/>
              <w:jc w:val="left"/>
            </w:pPr>
            <w:r>
              <w:rPr>
                <w:sz w:val="17"/>
              </w:rPr>
              <w:t xml:space="preserve">Can rows be grouped (design point, subject, site, batch, mix)?</w:t>
            </w:r>
          </w:p>
        </w:tc>
        <w:tc>
          <w:tcPr>
            <w:tcW w:w="4199" w:type="dxa"/>
          </w:tcPr>
          <w:p>
            <w:pPr>
              <w:pStyle w:val="Compact"/>
              <w:keepLines/>
              <w:jc w:val="left"/>
            </w:pPr>
            <w:r>
              <w:rPr>
                <w:sz w:val="17"/>
              </w:rPr>
              <w:t xml:space="preserve">Identify the grouping variable, or construct it from attributes that are constant within a unit; document it.</w:t>
            </w:r>
          </w:p>
        </w:tc>
      </w:tr>
      <w:tr>
        <w:trPr>
          <w:cantSplit w:val="true"/>
        </w:trPr>
        <w:tc>
          <w:tcPr>
            <w:tcW w:w="671" w:type="dxa"/>
          </w:tcPr>
          <w:p>
            <w:pPr>
              <w:pStyle w:val="Compact"/>
              <w:keepLines/>
              <w:jc w:val="left"/>
            </w:pPr>
            <w:r>
              <w:rPr>
                <w:sz w:val="17"/>
              </w:rPr>
              <w:t xml:space="preserve">2</w:t>
            </w:r>
          </w:p>
        </w:tc>
        <w:tc>
          <w:tcPr>
            <w:tcW w:w="4199" w:type="dxa"/>
          </w:tcPr>
          <w:p>
            <w:pPr>
              <w:pStyle w:val="Compact"/>
              <w:keepLines/>
              <w:jc w:val="left"/>
            </w:pPr>
            <w:r>
              <w:rPr>
                <w:sz w:val="17"/>
              </w:rPr>
              <w:t xml:space="preserve">How strong is the dependence?</w:t>
            </w:r>
          </w:p>
        </w:tc>
        <w:tc>
          <w:tcPr>
            <w:tcW w:w="4199" w:type="dxa"/>
          </w:tcPr>
          <w:p>
            <w:pPr>
              <w:pStyle w:val="Compact"/>
              <w:keepLines/>
              <w:jc w:val="left"/>
            </w:pPr>
            <w:r>
              <w:rPr>
                <w:sz w:val="17"/>
              </w:rPr>
              <w:t xml:space="preserve">Compute the ICC of the target and of the residual of a simple model, the group-size distribution and the leaked fraction of Eq. (12).</w:t>
            </w:r>
          </w:p>
        </w:tc>
      </w:tr>
      <w:tr>
        <w:trPr>
          <w:cantSplit w:val="true"/>
        </w:trPr>
        <w:tc>
          <w:tcPr>
            <w:tcW w:w="671" w:type="dxa"/>
          </w:tcPr>
          <w:p>
            <w:pPr>
              <w:pStyle w:val="Compact"/>
              <w:keepLines/>
              <w:jc w:val="left"/>
            </w:pPr>
            <w:r>
              <w:rPr>
                <w:sz w:val="17"/>
              </w:rPr>
              <w:t xml:space="preserve">3</w:t>
            </w:r>
          </w:p>
        </w:tc>
        <w:tc>
          <w:tcPr>
            <w:tcW w:w="4199" w:type="dxa"/>
          </w:tcPr>
          <w:p>
            <w:pPr>
              <w:pStyle w:val="Compact"/>
              <w:keepLines/>
              <w:jc w:val="left"/>
            </w:pPr>
            <w:r>
              <w:rPr>
                <w:sz w:val="17"/>
              </w:rPr>
              <w:t xml:space="preserve">What is the intended use?</w:t>
            </w:r>
          </w:p>
        </w:tc>
        <w:tc>
          <w:tcPr>
            <w:tcW w:w="4199" w:type="dxa"/>
          </w:tcPr>
          <w:p>
            <w:pPr>
              <w:pStyle w:val="Compact"/>
              <w:keepLines/>
              <w:jc w:val="left"/>
            </w:pPr>
            <w:r>
              <w:rPr>
                <w:sz w:val="17"/>
              </w:rPr>
              <w:t xml:space="preserve">If the model will predict new units, use group-held-out splits; if only new rows of known units, use random splits and state it.</w:t>
            </w:r>
          </w:p>
        </w:tc>
      </w:tr>
      <w:tr>
        <w:trPr>
          <w:cantSplit w:val="true"/>
        </w:trPr>
        <w:tc>
          <w:tcPr>
            <w:tcW w:w="671" w:type="dxa"/>
          </w:tcPr>
          <w:p>
            <w:pPr>
              <w:pStyle w:val="Compact"/>
              <w:keepLines/>
              <w:jc w:val="left"/>
            </w:pPr>
            <w:r>
              <w:rPr>
                <w:sz w:val="17"/>
              </w:rPr>
              <w:t xml:space="preserve">4</w:t>
            </w:r>
          </w:p>
        </w:tc>
        <w:tc>
          <w:tcPr>
            <w:tcW w:w="4199" w:type="dxa"/>
          </w:tcPr>
          <w:p>
            <w:pPr>
              <w:pStyle w:val="Compact"/>
              <w:keepLines/>
              <w:jc w:val="left"/>
            </w:pPr>
            <w:r>
              <w:rPr>
                <w:sz w:val="17"/>
              </w:rPr>
              <w:t xml:space="preserve">How should the splits and the tuning be done?</w:t>
            </w:r>
          </w:p>
        </w:tc>
        <w:tc>
          <w:tcPr>
            <w:tcW w:w="4199" w:type="dxa"/>
          </w:tcPr>
          <w:p>
            <w:pPr>
              <w:pStyle w:val="Compact"/>
              <w:keepLines/>
              <w:jc w:val="left"/>
            </w:pPr>
            <w:r>
              <w:rPr>
                <w:sz w:val="17"/>
              </w:rPr>
              <w:t xml:space="preserve">Use group-pure outer and inner folds; use at least 10 groups per fold-set where possible; report</w:t>
            </w:r>
            <w:r>
              <w:rPr>
                <w:sz w:val="17"/>
              </w:rPr>
              <w:t xml:space="preserve"> </w:t>
            </w:r>
            <m:oMath>
              <m:r>
                <m:t>G</m:t>
              </m:r>
            </m:oMath>
            <w:r>
              <w:rPr>
                <w:sz w:val="17"/>
              </w:rPr>
              <w:t xml:space="preserve">.</w:t>
            </w:r>
          </w:p>
        </w:tc>
      </w:tr>
      <w:tr>
        <w:trPr>
          <w:cantSplit w:val="true"/>
        </w:trPr>
        <w:tc>
          <w:tcPr>
            <w:tcW w:w="671" w:type="dxa"/>
          </w:tcPr>
          <w:p>
            <w:pPr>
              <w:pStyle w:val="Compact"/>
              <w:keepLines/>
              <w:jc w:val="left"/>
            </w:pPr>
            <w:r>
              <w:rPr>
                <w:sz w:val="17"/>
              </w:rPr>
              <w:t xml:space="preserve">5</w:t>
            </w:r>
          </w:p>
        </w:tc>
        <w:tc>
          <w:tcPr>
            <w:tcW w:w="4199" w:type="dxa"/>
          </w:tcPr>
          <w:p>
            <w:pPr>
              <w:pStyle w:val="Compact"/>
              <w:keepLines/>
              <w:jc w:val="left"/>
            </w:pPr>
            <w:r>
              <w:rPr>
                <w:sz w:val="17"/>
              </w:rPr>
              <w:t xml:space="preserve">What is the reference?</w:t>
            </w:r>
          </w:p>
        </w:tc>
        <w:tc>
          <w:tcPr>
            <w:tcW w:w="4199" w:type="dxa"/>
          </w:tcPr>
          <w:p>
            <w:pPr>
              <w:pStyle w:val="Compact"/>
              <w:keepLines/>
              <w:jc w:val="left"/>
            </w:pPr>
            <w:r>
              <w:rPr>
                <w:sz w:val="17"/>
              </w:rPr>
              <w:t xml:space="preserve">Report the training-mean predictor under the same splits and skill scores; consider a smooth baseline (ridge).</w:t>
            </w:r>
          </w:p>
        </w:tc>
      </w:tr>
      <w:tr>
        <w:trPr>
          <w:cantSplit w:val="true"/>
        </w:trPr>
        <w:tc>
          <w:tcPr>
            <w:tcW w:w="671" w:type="dxa"/>
          </w:tcPr>
          <w:p>
            <w:pPr>
              <w:pStyle w:val="Compact"/>
              <w:keepLines/>
              <w:jc w:val="left"/>
            </w:pPr>
            <w:r>
              <w:rPr>
                <w:sz w:val="17"/>
              </w:rPr>
              <w:t xml:space="preserve">6</w:t>
            </w:r>
          </w:p>
        </w:tc>
        <w:tc>
          <w:tcPr>
            <w:tcW w:w="4199" w:type="dxa"/>
          </w:tcPr>
          <w:p>
            <w:pPr>
              <w:pStyle w:val="Compact"/>
              <w:keepLines/>
              <w:jc w:val="left"/>
            </w:pPr>
            <w:r>
              <w:rPr>
                <w:sz w:val="17"/>
              </w:rPr>
              <w:t xml:space="preserve">How certain are the conclusions?</w:t>
            </w:r>
          </w:p>
        </w:tc>
        <w:tc>
          <w:tcPr>
            <w:tcW w:w="4199" w:type="dxa"/>
          </w:tcPr>
          <w:p>
            <w:pPr>
              <w:pStyle w:val="Compact"/>
              <w:keepLines/>
              <w:jc w:val="left"/>
            </w:pPr>
            <w:r>
              <w:rPr>
                <w:sz w:val="17"/>
              </w:rPr>
              <w:t xml:space="preserve">Bootstrap over groups; use paired tests across groups; do not rank models if intervals overlap widely.</w:t>
            </w:r>
          </w:p>
        </w:tc>
      </w:tr>
      <w:tr>
        <w:trPr>
          <w:cantSplit w:val="true"/>
        </w:trPr>
        <w:tc>
          <w:tcPr>
            <w:tcW w:w="671" w:type="dxa"/>
          </w:tcPr>
          <w:p>
            <w:pPr>
              <w:pStyle w:val="Compact"/>
              <w:keepLines/>
              <w:jc w:val="left"/>
            </w:pPr>
            <w:r>
              <w:rPr>
                <w:sz w:val="17"/>
              </w:rPr>
              <w:t xml:space="preserve">7</w:t>
            </w:r>
          </w:p>
        </w:tc>
        <w:tc>
          <w:tcPr>
            <w:tcW w:w="4199" w:type="dxa"/>
          </w:tcPr>
          <w:p>
            <w:pPr>
              <w:pStyle w:val="Compact"/>
              <w:keepLines/>
              <w:jc w:val="left"/>
            </w:pPr>
            <w:r>
              <w:rPr>
                <w:sz w:val="17"/>
              </w:rPr>
              <w:t xml:space="preserve">Does more data help?</w:t>
            </w:r>
          </w:p>
        </w:tc>
        <w:tc>
          <w:tcPr>
            <w:tcW w:w="4199" w:type="dxa"/>
          </w:tcPr>
          <w:p>
            <w:pPr>
              <w:pStyle w:val="Compact"/>
              <w:keepLines/>
              <w:jc w:val="left"/>
            </w:pPr>
            <w:r>
              <w:rPr>
                <w:sz w:val="17"/>
              </w:rPr>
              <w:t xml:space="preserve">Plot learning curves over the number of training groups.</w:t>
            </w:r>
          </w:p>
        </w:tc>
      </w:tr>
      <w:tr>
        <w:trPr>
          <w:cantSplit w:val="true"/>
        </w:trPr>
        <w:tc>
          <w:tcPr>
            <w:tcW w:w="671" w:type="dxa"/>
          </w:tcPr>
          <w:p>
            <w:pPr>
              <w:pStyle w:val="Compact"/>
              <w:keepLines/>
              <w:jc w:val="left"/>
            </w:pPr>
            <w:r>
              <w:rPr>
                <w:sz w:val="17"/>
              </w:rPr>
              <w:t xml:space="preserve">8</w:t>
            </w:r>
          </w:p>
        </w:tc>
        <w:tc>
          <w:tcPr>
            <w:tcW w:w="4199" w:type="dxa"/>
          </w:tcPr>
          <w:p>
            <w:pPr>
              <w:pStyle w:val="Compact"/>
              <w:keepLines/>
              <w:jc w:val="left"/>
            </w:pPr>
            <w:r>
              <w:rPr>
                <w:sz w:val="17"/>
              </w:rPr>
              <w:t xml:space="preserve">Can a new unit be calibrated?</w:t>
            </w:r>
          </w:p>
        </w:tc>
        <w:tc>
          <w:tcPr>
            <w:tcW w:w="4199" w:type="dxa"/>
          </w:tcPr>
          <w:p>
            <w:pPr>
              <w:pStyle w:val="Compact"/>
              <w:keepLines/>
              <w:jc w:val="left"/>
            </w:pPr>
            <w:r>
              <w:rPr>
                <w:sz w:val="17"/>
              </w:rPr>
              <w:t xml:space="preserve">If a few labelled rows of the new unit are available, test offset correction or weighted retraining.</w:t>
            </w:r>
          </w:p>
        </w:tc>
      </w:tr>
    </w:tbl>
    <w:p>
      <w:pPr>
        <w:pStyle w:val="CaptionedFigure"/>
        <w:keepNext/>
        <w:spacing w:before="120"/>
        <w:jc w:val="center"/>
      </w:pPr>
      <w:r>
        <w:drawing>
          <wp:inline>
            <wp:extent cx="5486400" cy="3605348"/>
            <wp:effectExtent b="0" l="0" r="0" t="0"/>
            <wp:docPr descr="Fig. 15. Decision flow for choosing a validation scheme for tabular regression data." title="" id="114" name="Picture"/>
            <a:graphic>
              <a:graphicData uri="http://schemas.openxmlformats.org/drawingml/2006/picture">
                <pic:pic>
                  <pic:nvPicPr>
                    <pic:cNvPr descr="../figures/paper/fig15_flowchart.png" id="115" name="Picture"/>
                    <pic:cNvPicPr>
                      <a:picLocks noChangeArrowheads="1" noChangeAspect="1"/>
                    </pic:cNvPicPr>
                  </pic:nvPicPr>
                  <pic:blipFill>
                    <a:blip r:embed="rId113"/>
                    <a:stretch>
                      <a:fillRect/>
                    </a:stretch>
                  </pic:blipFill>
                  <pic:spPr bwMode="auto">
                    <a:xfrm>
                      <a:off x="0" y="0"/>
                      <a:ext cx="5486400" cy="3605348"/>
                    </a:xfrm>
                    <a:prstGeom prst="rect">
                      <a:avLst/>
                    </a:prstGeom>
                    <a:noFill/>
                    <a:ln w="9525">
                      <a:noFill/>
                      <a:headEnd/>
                      <a:tailEnd/>
                    </a:ln>
                  </pic:spPr>
                </pic:pic>
              </a:graphicData>
            </a:graphic>
          </wp:inline>
        </w:drawing>
      </w:r>
    </w:p>
    <w:p>
      <w:pPr>
        <w:pStyle w:val="ImageCaption"/>
      </w:pPr>
      <w:r>
        <w:t xml:space="preserve">Fig. 15. Decision flow for choosing a validation scheme for tabular regression data.</w:t>
      </w:r>
    </w:p>
    <w:bookmarkEnd w:id="116"/>
    <w:bookmarkStart w:id="117" w:name="X5d0633e122f95eb7bda7b9b0e909b344c9f24bf"/>
    <w:p>
      <w:pPr>
        <w:pStyle w:val="Heading2"/>
      </w:pPr>
      <w:r>
        <w:rPr>
          <w:rStyle w:val="SectionNumber"/>
        </w:rPr>
        <w:t xml:space="preserve">7.6</w:t>
      </w:r>
      <w:r>
        <w:tab/>
      </w:r>
      <w:r>
        <w:t xml:space="preserve">Implications for building-energy modelling and clinical machine learning</w:t>
      </w:r>
    </w:p>
    <w:p>
      <w:pPr>
        <w:pStyle w:val="FirstParagraph"/>
      </w:pPr>
      <w:r>
        <w:t xml:space="preserve">For building energy, the relevant use of surrogate models for early design is the prediction of load for a design that has not been simulated. The group-held-out error of 3–4.5 kWh/m² for the best models on ENB2012 is therefore the number that matters, and it represents about 12–20% of the mean load. Importantly, even the simple models retain a clear skill relative to the training mean, so the dataset supports useful surrogate modelling, though at a lower accuracy than the random-split literature suggests. More informative benchmarks would include far more distinct geometries, which our learning curves show is what limits generalisation, not more variants of the same geometry. For clinical machine learning with repeated measures, our results reinforce earlier warnings on subject-wise validation [5, 14] and extend them in two ways: leakage can be so severe that the random-split score reflects only identity features, and the baseline that a constant achieves should always be reported.</w:t>
      </w:r>
    </w:p>
    <w:p>
      <w:pPr>
        <w:pStyle w:val="BodyText"/>
      </w:pPr>
      <w:r>
        <w:t xml:space="preserve">For curators of benchmarks, the findings suggest publishing a group identifier and recommended group-held-out splits with each dataset, and reporting the ICC and group-size distribution in the dataset documentation. This is a small addition to the metadata and would prevent the most common form of over-optimistic comparison.</w:t>
      </w:r>
    </w:p>
    <w:bookmarkEnd w:id="117"/>
    <w:bookmarkStart w:id="118" w:name="threats-to-validity"/>
    <w:p>
      <w:pPr>
        <w:pStyle w:val="Heading2"/>
      </w:pPr>
      <w:r>
        <w:rPr>
          <w:rStyle w:val="SectionNumber"/>
        </w:rPr>
        <w:t xml:space="preserve">7.7</w:t>
      </w:r>
      <w:r>
        <w:tab/>
      </w:r>
      <w:r>
        <w:t xml:space="preserve">Threats to validity</w:t>
      </w:r>
    </w:p>
    <w:p>
      <w:pPr>
        <w:pStyle w:val="FirstParagraph"/>
      </w:pPr>
      <w:r>
        <w:rPr>
          <w:i/>
          <w:iCs/>
        </w:rPr>
        <w:t xml:space="preserve">Internal validity.</w:t>
      </w:r>
      <w:r>
        <w:t xml:space="preserve"> </w:t>
      </w:r>
      <w:r>
        <w:t xml:space="preserve">The group definitions are derived from attributes (X1–X5 in ENB2012; identical ingredient quantities in Concrete; the subject identifier in Parkinson’s). If two groups that we treat as distinct are in fact near-duplicates (for instance, mixes that differ only slightly in water content), our group-held-out evaluation still leaks across them and underestimates the inflation. Hyper-parameter grids are modest and the fixed-parameter supplementary experiments do not tune; conclusions about relative model performance should not be read as statements about the best achievable performance of each family.</w:t>
      </w:r>
    </w:p>
    <w:p>
      <w:pPr>
        <w:pStyle w:val="BodyText"/>
      </w:pPr>
      <w:r>
        <w:rPr>
          <w:i/>
          <w:iCs/>
        </w:rPr>
        <w:t xml:space="preserve">Construct validity.</w:t>
      </w:r>
      <w:r>
        <w:t xml:space="preserve"> </w:t>
      </w:r>
      <w:r>
        <w:t xml:space="preserve">RMSE pooled over folds weights rows, not groups, and therefore weights large groups more; group-level averages would give different numbers in unbalanced designs such as Concrete. The skill score uses the training mean as the reference, which is the simplest option and could be replaced with a stronger baseline.</w:t>
      </w:r>
    </w:p>
    <w:p>
      <w:pPr>
        <w:pStyle w:val="BodyText"/>
      </w:pPr>
      <w:r>
        <w:rPr>
          <w:i/>
          <w:iCs/>
        </w:rPr>
        <w:t xml:space="preserve">External validity.</w:t>
      </w:r>
      <w:r>
        <w:t xml:space="preserve"> </w:t>
      </w:r>
      <w:r>
        <w:t xml:space="preserve">Three datasets, two of which are simulated or small, are not a representative sample of benchmarks. The relationship between group structure and inflation is based on five dataset–target combinations and should be treated as a hypothesis for further testing. Real measured building-energy data with explicit building and site groups (for example the Building Data Genome Project 2 [29]) would be a natural next test.</w:t>
      </w:r>
    </w:p>
    <w:p>
      <w:pPr>
        <w:pStyle w:val="BodyText"/>
      </w:pPr>
      <w:r>
        <w:rPr>
          <w:i/>
          <w:iCs/>
        </w:rPr>
        <w:t xml:space="preserve">Statistical conclusion validity.</w:t>
      </w:r>
      <w:r>
        <w:t xml:space="preserve"> </w:t>
      </w:r>
      <w:r>
        <w:t xml:space="preserve">With 12 and 42 groups, group-held-out estimates are noisy, and many model differences are not significant; we report intervals and avoid ranking claims where the evidence is weak. The random-split intervals are optimistic because folds are dependent.</w:t>
      </w:r>
    </w:p>
    <w:bookmarkEnd w:id="118"/>
    <w:bookmarkEnd w:id="119"/>
    <w:bookmarkStart w:id="120" w:name="limitations-and-future-work"/>
    <w:p>
      <w:pPr>
        <w:pStyle w:val="Heading1"/>
      </w:pPr>
      <w:r>
        <w:rPr>
          <w:rStyle w:val="SectionNumber"/>
        </w:rPr>
        <w:t xml:space="preserve">8</w:t>
      </w:r>
      <w:r>
        <w:tab/>
      </w:r>
      <w:r>
        <w:t xml:space="preserve">Limitations and future work</w:t>
      </w:r>
    </w:p>
    <w:p>
      <w:pPr>
        <w:pStyle w:val="FirstParagraph"/>
      </w:pPr>
      <w:r>
        <w:rPr>
          <w:b/>
          <w:bCs/>
        </w:rPr>
        <w:t xml:space="preserve">Scope of the evidence.</w:t>
      </w:r>
      <w:r>
        <w:t xml:space="preserve"> </w:t>
      </w:r>
      <w:r>
        <w:t xml:space="preserve">The study uses three datasets and five dataset–target combinations. The relationship between group structure and inflation is established as a mechanism (theory, simulation and dose–response in Concrete) and as a pattern across the three datasets, but it is not estimated as a statistical relationship; with more datasets one could fit the inflation ratio as a function of the ICC, the group size and the model capacity. Two of the datasets are simulations or small, and none contains real measured building-energy data. Natural extensions are the Building Data Genome Project 2, in which buildings and sites are explicit groups and temporal dependence adds a second leakage channel [29], and other widely used benchmarks with repeated measures.</w:t>
      </w:r>
    </w:p>
    <w:p>
      <w:pPr>
        <w:pStyle w:val="BodyText"/>
      </w:pPr>
      <w:r>
        <w:rPr>
          <w:b/>
          <w:bCs/>
        </w:rPr>
        <w:t xml:space="preserve">Few groups.</w:t>
      </w:r>
      <w:r>
        <w:t xml:space="preserve"> </w:t>
      </w:r>
      <w:r>
        <w:t xml:space="preserve">ENB2012 has twelve geometries and Parkinson’s 42 patients. Group-held-out estimates have wide intervals, and paired tests have little power; we avoid ranking claims and report the uncertainty. Simulations of the validation procedure itself, with known group-level truth, could quantify the power of group-held-out comparisons as a function of the number of groups.</w:t>
      </w:r>
    </w:p>
    <w:p>
      <w:pPr>
        <w:pStyle w:val="BodyText"/>
      </w:pPr>
      <w:r>
        <w:rPr>
          <w:b/>
          <w:bCs/>
        </w:rPr>
        <w:t xml:space="preserve">Models and tuning.</w:t>
      </w:r>
      <w:r>
        <w:t xml:space="preserve"> </w:t>
      </w:r>
      <w:r>
        <w:t xml:space="preserve">We tuned small grids for five model families. Neural networks, Gaussian processes, mixed-effects models and models with built-in extrapolation (for example linear trees or monotonic constraints) were not evaluated. Mixed-effects models and Gaussian processes with group-level kernels are particularly interesting because they model the group offsets explicitly and can use calibration rows of a new group in a principled way; our simple offset correction and weighted retraining are a first step in that direction.</w:t>
      </w:r>
    </w:p>
    <w:p>
      <w:pPr>
        <w:pStyle w:val="BodyText"/>
      </w:pPr>
      <w:r>
        <w:rPr>
          <w:b/>
          <w:bCs/>
        </w:rPr>
        <w:t xml:space="preserve">Feature sets.</w:t>
      </w:r>
      <w:r>
        <w:t xml:space="preserve"> </w:t>
      </w:r>
      <w:r>
        <w:t xml:space="preserve">For Parkinson’s data we used the standard feature set and examined subsets, but did not explore alternative voice features or longitudinal models. Whether any voice feature set generalises across patients without calibration remains open; our results show only that the standard measures with the models tested do not.</w:t>
      </w:r>
    </w:p>
    <w:p>
      <w:pPr>
        <w:pStyle w:val="BodyText"/>
      </w:pPr>
      <w:r>
        <w:rPr>
          <w:b/>
          <w:bCs/>
        </w:rPr>
        <w:t xml:space="preserve">Theory.</w:t>
      </w:r>
      <w:r>
        <w:t xml:space="preserve"> </w:t>
      </w:r>
      <w:r>
        <w:t xml:space="preserve">The random-intercept model is a stylised description. The extension to group-specific functions explains why observed inflation can exceed the intercept-only bound, but a full treatment would model random slopes, non-Gaussian errors and the finite-sample behaviour of specific learners. The formulae are bounds or approximations, and we have validated them in simulation only for a gradient-boosting learner and a linear learner.</w:t>
      </w:r>
    </w:p>
    <w:p>
      <w:pPr>
        <w:pStyle w:val="BodyText"/>
      </w:pPr>
      <w:r>
        <w:rPr>
          <w:b/>
          <w:bCs/>
        </w:rPr>
        <w:t xml:space="preserve">Future work.</w:t>
      </w:r>
      <w:r>
        <w:t xml:space="preserve"> </w:t>
      </w:r>
      <w:r>
        <w:t xml:space="preserve">(i) A larger meta-analysis of benchmark datasets with a detectable group structure, with the ICC, group-size distribution and inflation recorded for each. (ii) Methods for detecting hidden groups from the data (near-duplicate detection, clustering of identical attribute combinations) so that group-held-out validation can be applied when no identifier is provided. (iii) Evaluation protocols for deployment settings in which calibration rows of a new group become available over time. (iv) Group-aware hyper-parameter search implemented as the default in common machine-learning libraries.</w:t>
      </w:r>
    </w:p>
    <w:bookmarkEnd w:id="120"/>
    <w:bookmarkStart w:id="121" w:name="conclusions"/>
    <w:p>
      <w:pPr>
        <w:pStyle w:val="Heading1"/>
      </w:pPr>
      <w:r>
        <w:rPr>
          <w:rStyle w:val="SectionNumber"/>
        </w:rPr>
        <w:t xml:space="preserve">9</w:t>
      </w:r>
      <w:r>
        <w:tab/>
      </w:r>
      <w:r>
        <w:t xml:space="preserve">Conclusions</w:t>
      </w:r>
    </w:p>
    <w:p>
      <w:pPr>
        <w:pStyle w:val="FirstParagraph"/>
      </w:pPr>
      <w:r>
        <w:t xml:space="preserve">Random train–test splits on tabular benchmarks with repeated groups measure how well a model recognises the group, and this can dominate what is reported. On three widely used datasets we quantified the effect with matched nested tuning. The inflation of random-split accuracy ranges from negligible (Concrete, where groups are small and often singletons, and ridge regression everywhere) to nearly an order of magnitude (tree ensembles on ENB2012 and Parkinson’s data, where groups are large and tight). A random-effects model predicts the inflation of a learner that memorises group offsets as</w:t>
      </w:r>
      <w:r>
        <w:t xml:space="preserve"> </w:t>
      </w:r>
      <m:oMath>
        <m:r>
          <m:t>1</m:t>
        </m:r>
        <m:r>
          <m:rPr>
            <m:sty m:val="p"/>
          </m:rPr>
          <m:t>/</m:t>
        </m:r>
        <m:rad>
          <m:radPr>
            <m:degHide m:val="on"/>
          </m:radPr>
          <m:deg/>
          <m:e>
            <m:r>
              <m:t>1</m:t>
            </m:r>
            <m:r>
              <m:rPr>
                <m:sty m:val="p"/>
              </m:rPr>
              <m:t>−</m:t>
            </m:r>
            <m:r>
              <m:t>r</m:t>
            </m:r>
          </m:e>
        </m:rad>
      </m:oMath>
      <w:r>
        <w:t xml:space="preserve"> </w:t>
      </w:r>
      <w:r>
        <w:t xml:space="preserve">in the ICC</w:t>
      </w:r>
      <w:r>
        <w:t xml:space="preserve"> </w:t>
      </w:r>
      <m:oMath>
        <m:r>
          <m:t>r</m:t>
        </m:r>
      </m:oMath>
      <w:r>
        <w:t xml:space="preserve"> </w:t>
      </w:r>
      <w:r>
        <w:t xml:space="preserve">and reproduces it in simulation (correlation 0.93); on real data, interactions between groups and features can push the inflation beyond the intercept-only prediction, and observed ratios imply that group-specific structure accounts for more than 90% of the residual variance in ENB2012 heating load.</w:t>
      </w:r>
    </w:p>
    <w:p>
      <w:pPr>
        <w:pStyle w:val="BodyText"/>
      </w:pPr>
      <w:r>
        <w:t xml:space="preserve">Four practical findings follow. First, model rankings change with the protocol: on ENB2012 and Parkinson’s data the models that win under random splitting are among the worst on new groups, and the clear statistical ranking under random splitting (Friedman</w:t>
      </w:r>
      <w:r>
        <w:t xml:space="preserve"> </w:t>
      </w:r>
      <m:oMath>
        <m:r>
          <m:t>p</m:t>
        </m:r>
        <m:r>
          <m:rPr>
            <m:sty m:val="p"/>
          </m:rPr>
          <m:t>=</m:t>
        </m:r>
        <m:r>
          <m:t>0.001</m:t>
        </m:r>
      </m:oMath>
      <w:r>
        <w:t xml:space="preserve">) disappears under group-held-out evaluation (</w:t>
      </w:r>
      <m:oMath>
        <m:r>
          <m:t>p</m:t>
        </m:r>
        <m:r>
          <m:rPr>
            <m:sty m:val="p"/>
          </m:rPr>
          <m:t>=</m:t>
        </m:r>
        <m:r>
          <m:t>0.66</m:t>
        </m:r>
      </m:oMath>
      <w:r>
        <w:t xml:space="preserve">). Second, tuning with random inner folds can degrade the model that is eventually deployed, with errors up to three times larger for support-vector regression on ENB2012. Third, a no-skill reference is indispensable: on Parkinson’s data all models are at best no better than the training mean on new patients, although they look nearly perfect under random splitting, and the features that produce the near-perfect scores are demographic and temporal identifiers, not voice measures. Fourth, learning curves over the number of training groups show that more rows from the same groups do not help new groups; what helps is more groups.</w:t>
      </w:r>
    </w:p>
    <w:p>
      <w:pPr>
        <w:pStyle w:val="BodyText"/>
      </w:pPr>
      <w:r>
        <w:t xml:space="preserve">We recommend that benchmark users identify groups before splitting, use group-pure outer and inner folds, report a no-skill baseline and uncertainty over groups, and that benchmark curators publish group identifiers and recommended splits. The code, per-fold results and figures accompanying this paper make it straightforward to apply the same checks to other datasets.</w:t>
      </w:r>
    </w:p>
    <w:bookmarkEnd w:id="121"/>
    <w:bookmarkStart w:id="122" w:name="declarations"/>
    <w:p>
      <w:pPr>
        <w:pStyle w:val="Heading1"/>
      </w:pPr>
      <w:r>
        <w:t xml:space="preserve">Declarations</w:t>
      </w:r>
    </w:p>
    <w:p>
      <w:pPr>
        <w:pStyle w:val="FirstParagraph"/>
      </w:pPr>
      <w:r>
        <w:rPr>
          <w:b/>
          <w:bCs/>
        </w:rPr>
        <w:t xml:space="preserve">CRediT authorship contribution statement.</w:t>
      </w:r>
      <w:r>
        <w:t xml:space="preserve"> </w:t>
      </w:r>
      <w:r>
        <w:rPr>
          <w:i/>
          <w:iCs/>
        </w:rPr>
        <w:t xml:space="preserve">To be completed by the authors.</w:t>
      </w:r>
      <w:r>
        <w:t xml:space="preserve"> </w:t>
      </w:r>
      <w:r>
        <w:t xml:space="preserve">(Conceptualisation; Methodology; Software; Validation; Formal analysis; Investigation; Data curation; Writing – original draft; Writing – review and editing; Visualisation.)</w:t>
      </w:r>
    </w:p>
    <w:p>
      <w:pPr>
        <w:pStyle w:val="BodyText"/>
      </w:pPr>
      <w:r>
        <w:rPr>
          <w:b/>
          <w:bCs/>
        </w:rPr>
        <w:t xml:space="preserve">Declaration of generative AI and AI-assisted technologies in the writing process.</w:t>
      </w:r>
      <w:r>
        <w:t xml:space="preserve"> </w:t>
      </w:r>
      <w:r>
        <w:t xml:space="preserve">During the preparation of this work the author(s) used Claude (Anthropic) to assist with writing and running the analysis code, with generating figures and tables, with drafting and editing the manuscript text, and with searching for and checking bibliographic details. After using this tool, the author(s) reviewed and edited the content and take full responsibility for the content of the published article.</w:t>
      </w:r>
      <w:r>
        <w:t xml:space="preserve"> </w:t>
      </w:r>
      <w:r>
        <w:rPr>
          <w:i/>
          <w:iCs/>
        </w:rPr>
        <w:t xml:space="preserve">(Authors: please review this statement and adapt it to the target journal’s policy.)</w:t>
      </w:r>
    </w:p>
    <w:p>
      <w:pPr>
        <w:pStyle w:val="BodyText"/>
      </w:pPr>
      <w:r>
        <w:rPr>
          <w:b/>
          <w:bCs/>
        </w:rPr>
        <w:t xml:space="preserve">Declaration of competing interest.</w:t>
      </w:r>
      <w:r>
        <w:t xml:space="preserve"> </w:t>
      </w:r>
      <w:r>
        <w:rPr>
          <w:i/>
          <w:iCs/>
        </w:rPr>
        <w:t xml:space="preserve">To be completed by the authors.</w:t>
      </w:r>
    </w:p>
    <w:p>
      <w:pPr>
        <w:pStyle w:val="BodyText"/>
      </w:pPr>
      <w:r>
        <w:rPr>
          <w:b/>
          <w:bCs/>
        </w:rPr>
        <w:t xml:space="preserve">Funding.</w:t>
      </w:r>
      <w:r>
        <w:t xml:space="preserve"> </w:t>
      </w:r>
      <w:r>
        <w:rPr>
          <w:i/>
          <w:iCs/>
        </w:rPr>
        <w:t xml:space="preserve">To be completed by the authors.</w:t>
      </w:r>
    </w:p>
    <w:p>
      <w:pPr>
        <w:pStyle w:val="BodyText"/>
      </w:pPr>
      <w:r>
        <w:rPr>
          <w:b/>
          <w:bCs/>
        </w:rPr>
        <w:t xml:space="preserve">Data availability.</w:t>
      </w:r>
      <w:r>
        <w:t xml:space="preserve"> </w:t>
      </w:r>
      <w:r>
        <w:t xml:space="preserve">The datasets are public (UCI Machine Learning Repository; mirrored on Kaggle). The exact files, all code, per-fold results and figures are available at https://github.com/deep1789/Energy-efficient (repository named</w:t>
      </w:r>
      <w:r>
        <w:t xml:space="preserve"> </w:t>
      </w:r>
      <w:r>
        <w:rPr>
          <w:rStyle w:val="VerbatimChar"/>
        </w:rPr>
        <w:t xml:space="preserve">Energy-efficient</w:t>
      </w:r>
      <w:r>
        <w:t xml:space="preserve">).</w:t>
      </w:r>
    </w:p>
    <w:p>
      <w:pPr>
        <w:pStyle w:val="BodyText"/>
      </w:pPr>
      <w:r>
        <w:rPr>
          <w:b/>
          <w:bCs/>
        </w:rPr>
        <w:t xml:space="preserve">Acknowledgements.</w:t>
      </w:r>
      <w:r>
        <w:t xml:space="preserve"> </w:t>
      </w:r>
      <w:r>
        <w:rPr>
          <w:i/>
          <w:iCs/>
        </w:rPr>
        <w:t xml:space="preserve">To be completed by the authors.</w:t>
      </w:r>
    </w:p>
    <w:bookmarkEnd w:id="122"/>
    <w:bookmarkStart w:id="130" w:name="appendix-a.-derivations"/>
    <w:p>
      <w:pPr>
        <w:pStyle w:val="Heading1"/>
      </w:pPr>
      <w:r>
        <w:t xml:space="preserve">Appendix A. Derivations</w:t>
      </w:r>
    </w:p>
    <w:bookmarkStart w:id="123" w:name="X5816106f8e1822568c20c73635c2a3fe5c5cf6a"/>
    <w:p>
      <w:pPr>
        <w:pStyle w:val="Heading2"/>
      </w:pPr>
      <w:r>
        <w:t xml:space="preserve">A.1 Posterior variance and best linear unbiased predictor (Eqs. 4–5)</w:t>
      </w:r>
    </w:p>
    <w:p>
      <w:pPr>
        <w:pStyle w:val="FirstParagraph"/>
      </w:pPr>
      <w:r>
        <w:t xml:space="preserve">Consider one group with offset</w:t>
      </w:r>
      <w:r>
        <w:t xml:space="preserve"> </w:t>
      </w:r>
      <m:oMath>
        <m:r>
          <m:t>u</m:t>
        </m:r>
        <m:r>
          <m:rPr>
            <m:sty m:val="p"/>
          </m:rPr>
          <m:t>∼</m:t>
        </m:r>
        <m:r>
          <m:rPr>
            <m:sty m:val="p"/>
          </m:rPr>
          <m:t>(</m:t>
        </m:r>
        <m:r>
          <m:t>0</m:t>
        </m:r>
        <m:r>
          <m:rPr>
            <m:sty m:val="p"/>
          </m:rPr>
          <m:t>,</m:t>
        </m:r>
        <m:sSubSup>
          <m:e>
            <m:r>
              <m:t>σ</m:t>
            </m:r>
          </m:e>
          <m:sub>
            <m:r>
              <m:t>u</m:t>
            </m:r>
          </m:sub>
          <m:sup>
            <m:r>
              <m:t>2</m:t>
            </m:r>
          </m:sup>
        </m:sSubSup>
        <m:r>
          <m:rPr>
            <m:sty m:val="p"/>
          </m:rPr>
          <m:t>)</m:t>
        </m:r>
      </m:oMath>
      <w:r>
        <w:t xml:space="preserve"> </w:t>
      </w:r>
      <w:r>
        <w:t xml:space="preserve">and</w:t>
      </w:r>
      <w:r>
        <w:t xml:space="preserve"> </w:t>
      </w:r>
      <m:oMath>
        <m:r>
          <m:t>n</m:t>
        </m:r>
      </m:oMath>
      <w:r>
        <w:t xml:space="preserve"> </w:t>
      </w:r>
      <w:r>
        <w:t xml:space="preserve">training rows whose residuals after removing the shared signal are</w:t>
      </w:r>
      <w:r>
        <w:t xml:space="preserve"> </w:t>
      </w:r>
      <m:oMath>
        <m:sSub>
          <m:e>
            <m:r>
              <m:t>e</m:t>
            </m:r>
          </m:e>
          <m:sub>
            <m:r>
              <m:t>l</m:t>
            </m:r>
          </m:sub>
        </m:sSub>
        <m:r>
          <m:rPr>
            <m:sty m:val="p"/>
          </m:rPr>
          <m:t>=</m:t>
        </m:r>
        <m:r>
          <m:t>u</m:t>
        </m:r>
        <m:r>
          <m:rPr>
            <m:sty m:val="p"/>
          </m:rPr>
          <m:t>+</m:t>
        </m:r>
        <m:sSub>
          <m:e>
            <m:r>
              <m:t>ε</m:t>
            </m:r>
          </m:e>
          <m:sub>
            <m:r>
              <m:t>l</m:t>
            </m:r>
          </m:sub>
        </m:sSub>
      </m:oMath>
      <w:r>
        <w:t xml:space="preserve">, with independent noise of variance</w:t>
      </w:r>
      <w:r>
        <w:t xml:space="preserve"> </w:t>
      </w:r>
      <m:oMath>
        <m:sSubSup>
          <m:e>
            <m:r>
              <m:t>σ</m:t>
            </m:r>
          </m:e>
          <m:sub>
            <m:r>
              <m:t>ε</m:t>
            </m:r>
          </m:sub>
          <m:sup>
            <m:r>
              <m:t>2</m:t>
            </m:r>
          </m:sup>
        </m:sSubSup>
      </m:oMath>
      <w:r>
        <w:t xml:space="preserve">. The mean residual is</w:t>
      </w:r>
      <w:r>
        <w:t xml:space="preserve"> </w:t>
      </w:r>
      <m:oMath>
        <m:acc>
          <m:accPr>
            <m:chr m:val="‾"/>
          </m:accPr>
          <m:e>
            <m:r>
              <m:t>e</m:t>
            </m:r>
          </m:e>
        </m:acc>
        <m:r>
          <m:rPr>
            <m:sty m:val="p"/>
          </m:rPr>
          <m:t>=</m:t>
        </m:r>
        <m:r>
          <m:t>u</m:t>
        </m:r>
        <m:r>
          <m:rPr>
            <m:sty m:val="p"/>
          </m:rPr>
          <m:t>+</m:t>
        </m:r>
        <m:acc>
          <m:accPr>
            <m:chr m:val="‾"/>
          </m:accPr>
          <m:e>
            <m:r>
              <m:t>ε</m:t>
            </m:r>
          </m:e>
        </m:acc>
      </m:oMath>
      <w:r>
        <w:t xml:space="preserve"> </w:t>
      </w:r>
      <w:r>
        <w:t xml:space="preserve">with</w:t>
      </w:r>
      <w:r>
        <w:t xml:space="preserve"> </w:t>
      </w:r>
      <m:oMath>
        <m:r>
          <m:rPr>
            <m:sty m:val="p"/>
          </m:rPr>
          <m:t>Var</m:t>
        </m:r>
        <m:r>
          <m:rPr>
            <m:sty m:val="p"/>
          </m:rPr>
          <m:t>(</m:t>
        </m:r>
        <m:acc>
          <m:accPr>
            <m:chr m:val="‾"/>
          </m:accPr>
          <m:e>
            <m:r>
              <m:t>ε</m:t>
            </m:r>
          </m:e>
        </m:acc>
        <m:r>
          <m:rPr>
            <m:sty m:val="p"/>
          </m:rPr>
          <m:t>)</m:t>
        </m:r>
        <m:r>
          <m:rPr>
            <m:sty m:val="p"/>
          </m:rPr>
          <m:t>=</m:t>
        </m:r>
        <m:sSubSup>
          <m:e>
            <m:r>
              <m:t>σ</m:t>
            </m:r>
          </m:e>
          <m:sub>
            <m:r>
              <m:t>ε</m:t>
            </m:r>
          </m:sub>
          <m:sup>
            <m:r>
              <m:t>2</m:t>
            </m:r>
          </m:sup>
        </m:sSubSup>
        <m:r>
          <m:rPr>
            <m:sty m:val="p"/>
          </m:rPr>
          <m:t>/</m:t>
        </m:r>
        <m:r>
          <m:t>n</m:t>
        </m:r>
      </m:oMath>
      <w:r>
        <w:t xml:space="preserve">. The best linear predictor of</w:t>
      </w:r>
      <w:r>
        <w:t xml:space="preserve"> </w:t>
      </w:r>
      <m:oMath>
        <m:r>
          <m:t>u</m:t>
        </m:r>
      </m:oMath>
      <w:r>
        <w:t xml:space="preserve"> </w:t>
      </w:r>
      <w:r>
        <w:t xml:space="preserve">from</w:t>
      </w:r>
      <w:r>
        <w:t xml:space="preserve"> </w:t>
      </w:r>
      <m:oMath>
        <m:acc>
          <m:accPr>
            <m:chr m:val="‾"/>
          </m:accPr>
          <m:e>
            <m:r>
              <m:t>e</m:t>
            </m:r>
          </m:e>
        </m:acc>
      </m:oMath>
      <w:r>
        <w:t xml:space="preserve"> </w:t>
      </w:r>
      <w:r>
        <w:t xml:space="preserve">is</w:t>
      </w:r>
      <w:r>
        <w:t xml:space="preserve"> </w:t>
      </w:r>
      <m:oMath>
        <m:acc>
          <m:accPr>
            <m:chr m:val="̂"/>
          </m:accPr>
          <m:e>
            <m:r>
              <m:t>u</m:t>
            </m:r>
          </m:e>
        </m:acc>
        <m:r>
          <m:rPr>
            <m:sty m:val="p"/>
          </m:rPr>
          <m:t>=</m:t>
        </m:r>
        <m:r>
          <m:t>w</m:t>
        </m:r>
        <m:acc>
          <m:accPr>
            <m:chr m:val="‾"/>
          </m:accPr>
          <m:e>
            <m:r>
              <m:t>e</m:t>
            </m:r>
          </m:e>
        </m:acc>
      </m:oMath>
      <w:r>
        <w:t xml:space="preserve"> </w:t>
      </w:r>
      <w:r>
        <w:t xml:space="preserve">with</w:t>
      </w:r>
      <w:r>
        <w:t xml:space="preserve"> </w:t>
      </w:r>
      <m:oMath>
        <m:r>
          <m:t>w</m:t>
        </m:r>
        <m:r>
          <m:rPr>
            <m:sty m:val="p"/>
          </m:rPr>
          <m:t>=</m:t>
        </m:r>
        <m:r>
          <m:rPr>
            <m:sty m:val="p"/>
          </m:rPr>
          <m:t>Cov</m:t>
        </m:r>
        <m:r>
          <m:rPr>
            <m:sty m:val="p"/>
          </m:rPr>
          <m:t>(</m:t>
        </m:r>
        <m:r>
          <m:t>u</m:t>
        </m:r>
        <m:r>
          <m:rPr>
            <m:sty m:val="p"/>
          </m:rPr>
          <m:t>,</m:t>
        </m:r>
        <m:acc>
          <m:accPr>
            <m:chr m:val="‾"/>
          </m:accPr>
          <m:e>
            <m:r>
              <m:t>e</m:t>
            </m:r>
          </m:e>
        </m:acc>
        <m:r>
          <m:rPr>
            <m:sty m:val="p"/>
          </m:rPr>
          <m:t>)</m:t>
        </m:r>
        <m:r>
          <m:rPr>
            <m:sty m:val="p"/>
          </m:rPr>
          <m:t>/</m:t>
        </m:r>
        <m:r>
          <m:rPr>
            <m:sty m:val="p"/>
          </m:rPr>
          <m:t>Var</m:t>
        </m:r>
        <m:r>
          <m:rPr>
            <m:sty m:val="p"/>
          </m:rPr>
          <m:t>(</m:t>
        </m:r>
        <m:acc>
          <m:accPr>
            <m:chr m:val="‾"/>
          </m:accPr>
          <m:e>
            <m:r>
              <m:t>e</m:t>
            </m:r>
          </m:e>
        </m:acc>
        <m:r>
          <m:rPr>
            <m:sty m:val="p"/>
          </m:rPr>
          <m:t>)</m:t>
        </m:r>
        <m:r>
          <m:rPr>
            <m:sty m:val="p"/>
          </m:rPr>
          <m:t>=</m:t>
        </m:r>
        <m:sSubSup>
          <m:e>
            <m:r>
              <m:t>σ</m:t>
            </m:r>
          </m:e>
          <m:sub>
            <m:r>
              <m:t>u</m:t>
            </m:r>
          </m:sub>
          <m:sup>
            <m:r>
              <m:t>2</m:t>
            </m:r>
          </m:sup>
        </m:sSubSup>
        <m:r>
          <m:rPr>
            <m:sty m:val="p"/>
          </m:rPr>
          <m:t>/</m:t>
        </m:r>
        <m:r>
          <m:rPr>
            <m:sty m:val="p"/>
          </m:rPr>
          <m:t>(</m:t>
        </m:r>
        <m:sSubSup>
          <m:e>
            <m:r>
              <m:t>σ</m:t>
            </m:r>
          </m:e>
          <m:sub>
            <m:r>
              <m:t>u</m:t>
            </m:r>
          </m:sub>
          <m:sup>
            <m:r>
              <m:t>2</m:t>
            </m:r>
          </m:sup>
        </m:sSubSup>
        <m:r>
          <m:rPr>
            <m:sty m:val="p"/>
          </m:rPr>
          <m:t>+</m:t>
        </m:r>
        <m:sSubSup>
          <m:e>
            <m:r>
              <m:t>σ</m:t>
            </m:r>
          </m:e>
          <m:sub>
            <m:r>
              <m:t>ε</m:t>
            </m:r>
          </m:sub>
          <m:sup>
            <m:r>
              <m:t>2</m:t>
            </m:r>
          </m:sup>
        </m:sSubSup>
        <m:r>
          <m:rPr>
            <m:sty m:val="p"/>
          </m:rPr>
          <m:t>/</m:t>
        </m:r>
        <m:r>
          <m:t>n</m:t>
        </m:r>
        <m:r>
          <m:rPr>
            <m:sty m:val="p"/>
          </m:rPr>
          <m:t>)</m:t>
        </m:r>
        <m:r>
          <m:rPr>
            <m:sty m:val="p"/>
          </m:rPr>
          <m:t>=</m:t>
        </m:r>
        <m:r>
          <m:t>n</m:t>
        </m:r>
        <m:sSubSup>
          <m:e>
            <m:r>
              <m:t>σ</m:t>
            </m:r>
          </m:e>
          <m:sub>
            <m:r>
              <m:t>u</m:t>
            </m:r>
          </m:sub>
          <m:sup>
            <m:r>
              <m:t>2</m:t>
            </m:r>
          </m:sup>
        </m:sSubSup>
        <m:r>
          <m:rPr>
            <m:sty m:val="p"/>
          </m:rPr>
          <m:t>/</m:t>
        </m:r>
        <m:r>
          <m:rPr>
            <m:sty m:val="p"/>
          </m:rPr>
          <m:t>(</m:t>
        </m:r>
        <m:r>
          <m:t>n</m:t>
        </m:r>
        <m:sSubSup>
          <m:e>
            <m:r>
              <m:t>σ</m:t>
            </m:r>
          </m:e>
          <m:sub>
            <m:r>
              <m:t>u</m:t>
            </m:r>
          </m:sub>
          <m:sup>
            <m:r>
              <m:t>2</m:t>
            </m:r>
          </m:sup>
        </m:sSubSup>
        <m:r>
          <m:rPr>
            <m:sty m:val="p"/>
          </m:rPr>
          <m:t>+</m:t>
        </m:r>
        <m:sSubSup>
          <m:e>
            <m:r>
              <m:t>σ</m:t>
            </m:r>
          </m:e>
          <m:sub>
            <m:r>
              <m:t>ε</m:t>
            </m:r>
          </m:sub>
          <m:sup>
            <m:r>
              <m:t>2</m:t>
            </m:r>
          </m:sup>
        </m:sSubSup>
        <m:r>
          <m:rPr>
            <m:sty m:val="p"/>
          </m:rPr>
          <m:t>)</m:t>
        </m:r>
      </m:oMath>
      <w:r>
        <w:t xml:space="preserve">, which is Eq. (4). Its mean-squared error is</w:t>
      </w:r>
    </w:p>
    <w:p>
      <w:pPr>
        <w:pStyle w:val="BodyText"/>
      </w:pPr>
      <m:oMathPara>
        <m:oMathParaPr>
          <m:jc m:val="center"/>
        </m:oMathParaPr>
        <m:oMath>
          <m:r>
            <m:rPr>
              <m:sty m:val="p"/>
            </m:rPr>
            <m:t>Var</m:t>
          </m:r>
          <m:r>
            <m:rPr>
              <m:sty m:val="p"/>
            </m:rPr>
            <m:t>(</m:t>
          </m:r>
          <m:r>
            <m:t>u</m:t>
          </m:r>
          <m:r>
            <m:rPr>
              <m:sty m:val="p"/>
            </m:rPr>
            <m:t>−</m:t>
          </m:r>
          <m:acc>
            <m:accPr>
              <m:chr m:val="̂"/>
            </m:accPr>
            <m:e>
              <m:r>
                <m:t>u</m:t>
              </m:r>
            </m:e>
          </m:acc>
          <m:r>
            <m:rPr>
              <m:sty m:val="p"/>
            </m:rPr>
            <m:t>)</m:t>
          </m:r>
          <m:r>
            <m:rPr>
              <m:sty m:val="p"/>
            </m:rPr>
            <m:t>=</m:t>
          </m:r>
          <m:sSubSup>
            <m:e>
              <m:r>
                <m:t>σ</m:t>
              </m:r>
            </m:e>
            <m:sub>
              <m:r>
                <m:t>u</m:t>
              </m:r>
            </m:sub>
            <m:sup>
              <m:r>
                <m:t>2</m:t>
              </m:r>
            </m:sup>
          </m:sSubSup>
          <m:r>
            <m:rPr>
              <m:sty m:val="p"/>
            </m:rPr>
            <m:t>−</m:t>
          </m:r>
          <m:f>
            <m:fPr>
              <m:type m:val="bar"/>
            </m:fPr>
            <m:num>
              <m:r>
                <m:rPr>
                  <m:sty m:val="p"/>
                </m:rPr>
                <m:t>Cov</m:t>
              </m:r>
              <m:r>
                <m:rPr>
                  <m:sty m:val="p"/>
                </m:rPr>
                <m:t>(</m:t>
              </m:r>
              <m:r>
                <m:t>u</m:t>
              </m:r>
              <m:r>
                <m:rPr>
                  <m:sty m:val="p"/>
                </m:rPr>
                <m:t>,</m:t>
              </m:r>
              <m:acc>
                <m:accPr>
                  <m:chr m:val="‾"/>
                </m:accPr>
                <m:e>
                  <m:r>
                    <m:t>e</m:t>
                  </m:r>
                </m:e>
              </m:acc>
              <m:sSup>
                <m:e>
                  <m:r>
                    <m:rPr>
                      <m:sty m:val="p"/>
                    </m:rPr>
                    <m:t>)</m:t>
                  </m:r>
                </m:e>
                <m:sup>
                  <m:r>
                    <m:t>2</m:t>
                  </m:r>
                </m:sup>
              </m:sSup>
            </m:num>
            <m:den>
              <m:r>
                <m:rPr>
                  <m:sty m:val="p"/>
                </m:rPr>
                <m:t>Var</m:t>
              </m:r>
              <m:r>
                <m:rPr>
                  <m:sty m:val="p"/>
                </m:rPr>
                <m:t>(</m:t>
              </m:r>
              <m:acc>
                <m:accPr>
                  <m:chr m:val="‾"/>
                </m:accPr>
                <m:e>
                  <m:r>
                    <m:t>e</m:t>
                  </m:r>
                </m:e>
              </m:acc>
              <m:r>
                <m:rPr>
                  <m:sty m:val="p"/>
                </m:rPr>
                <m:t>)</m:t>
              </m:r>
            </m:den>
          </m:f>
          <m:r>
            <m:rPr>
              <m:sty m:val="p"/>
            </m:rPr>
            <m:t>=</m:t>
          </m:r>
          <m:sSubSup>
            <m:e>
              <m:r>
                <m:t>σ</m:t>
              </m:r>
            </m:e>
            <m:sub>
              <m:r>
                <m:t>u</m:t>
              </m:r>
            </m:sub>
            <m:sup>
              <m:r>
                <m:t>2</m:t>
              </m:r>
            </m:sup>
          </m:sSubSup>
          <m:r>
            <m:rPr>
              <m:sty m:val="p"/>
            </m:rPr>
            <m:t>−</m:t>
          </m:r>
          <m:f>
            <m:fPr>
              <m:type m:val="bar"/>
            </m:fPr>
            <m:num>
              <m:sSubSup>
                <m:e>
                  <m:r>
                    <m:t>σ</m:t>
                  </m:r>
                </m:e>
                <m:sub>
                  <m:r>
                    <m:t>u</m:t>
                  </m:r>
                </m:sub>
                <m:sup>
                  <m:r>
                    <m:t>4</m:t>
                  </m:r>
                </m:sup>
              </m:sSubSup>
            </m:num>
            <m:den>
              <m:sSubSup>
                <m:e>
                  <m:r>
                    <m:t>σ</m:t>
                  </m:r>
                </m:e>
                <m:sub>
                  <m:r>
                    <m:t>u</m:t>
                  </m:r>
                </m:sub>
                <m:sup>
                  <m:r>
                    <m:t>2</m:t>
                  </m:r>
                </m:sup>
              </m:sSubSup>
              <m:r>
                <m:rPr>
                  <m:sty m:val="p"/>
                </m:rPr>
                <m:t>+</m:t>
              </m:r>
              <m:sSubSup>
                <m:e>
                  <m:r>
                    <m:t>σ</m:t>
                  </m:r>
                </m:e>
                <m:sub>
                  <m:r>
                    <m:t>ε</m:t>
                  </m:r>
                </m:sub>
                <m:sup>
                  <m:r>
                    <m:t>2</m:t>
                  </m:r>
                </m:sup>
              </m:sSubSup>
              <m:r>
                <m:rPr>
                  <m:sty m:val="p"/>
                </m:rPr>
                <m:t>/</m:t>
              </m:r>
              <m:r>
                <m:t>n</m:t>
              </m:r>
            </m:den>
          </m:f>
          <m:r>
            <m:rPr>
              <m:sty m:val="p"/>
            </m:rPr>
            <m:t>=</m:t>
          </m:r>
          <m:f>
            <m:fPr>
              <m:type m:val="bar"/>
            </m:fPr>
            <m:num>
              <m:sSubSup>
                <m:e>
                  <m:r>
                    <m:t>σ</m:t>
                  </m:r>
                </m:e>
                <m:sub>
                  <m:r>
                    <m:t>u</m:t>
                  </m:r>
                </m:sub>
                <m:sup>
                  <m:r>
                    <m:t>2</m:t>
                  </m:r>
                </m:sup>
              </m:sSubSup>
              <m:sSubSup>
                <m:e>
                  <m:r>
                    <m:t>σ</m:t>
                  </m:r>
                </m:e>
                <m:sub>
                  <m:r>
                    <m:t>ε</m:t>
                  </m:r>
                </m:sub>
                <m:sup>
                  <m:r>
                    <m:t>2</m:t>
                  </m:r>
                </m:sup>
              </m:sSubSup>
            </m:num>
            <m:den>
              <m:sSubSup>
                <m:e>
                  <m:r>
                    <m:t>σ</m:t>
                  </m:r>
                </m:e>
                <m:sub>
                  <m:r>
                    <m:t>ε</m:t>
                  </m:r>
                </m:sub>
                <m:sup>
                  <m:r>
                    <m:t>2</m:t>
                  </m:r>
                </m:sup>
              </m:sSubSup>
              <m:r>
                <m:rPr>
                  <m:sty m:val="p"/>
                </m:rPr>
                <m:t>+</m:t>
              </m:r>
              <m:r>
                <m:t>n</m:t>
              </m:r>
              <m:sSubSup>
                <m:e>
                  <m:r>
                    <m:t>σ</m:t>
                  </m:r>
                </m:e>
                <m:sub>
                  <m:r>
                    <m:t>u</m:t>
                  </m:r>
                </m:sub>
                <m:sup>
                  <m:r>
                    <m:t>2</m:t>
                  </m:r>
                </m:sup>
              </m:sSubSup>
            </m:den>
          </m:f>
          <m:r>
            <m:rPr>
              <m:sty m:val="p"/>
            </m:rPr>
            <m:t>,</m:t>
          </m:r>
          <m:r>
            <m:t>  </m:t>
          </m:r>
          <m:r>
            <m:t>  </m:t>
          </m:r>
          <m:r>
            <m:rPr>
              <m:sty m:val="p"/>
            </m:rPr>
            <m:t>(</m:t>
          </m:r>
          <m:r>
            <m:t>A</m:t>
          </m:r>
          <m:r>
            <m:t>1</m:t>
          </m:r>
          <m:r>
            <m:rPr>
              <m:sty m:val="p"/>
            </m:rPr>
            <m:t>)</m:t>
          </m:r>
        </m:oMath>
      </m:oMathPara>
    </w:p>
    <w:p>
      <w:pPr>
        <w:pStyle w:val="FirstParagraph"/>
      </w:pPr>
      <w:r>
        <w:t xml:space="preserve">which equals Eq. (5) and, written as</w:t>
      </w:r>
      <w:r>
        <w:t xml:space="preserve"> </w:t>
      </w:r>
      <m:oMath>
        <m:r>
          <m:rPr>
            <m:sty m:val="p"/>
          </m:rPr>
          <m:t>(</m:t>
        </m:r>
        <m:r>
          <m:t>1</m:t>
        </m:r>
        <m:r>
          <m:rPr>
            <m:sty m:val="p"/>
          </m:rPr>
          <m:t>/</m:t>
        </m:r>
        <m:sSubSup>
          <m:e>
            <m:r>
              <m:t>σ</m:t>
            </m:r>
          </m:e>
          <m:sub>
            <m:r>
              <m:t>u</m:t>
            </m:r>
          </m:sub>
          <m:sup>
            <m:r>
              <m:t>2</m:t>
            </m:r>
          </m:sup>
        </m:sSubSup>
        <m:r>
          <m:rPr>
            <m:sty m:val="p"/>
          </m:rPr>
          <m:t>+</m:t>
        </m:r>
        <m:r>
          <m:t>n</m:t>
        </m:r>
        <m:r>
          <m:rPr>
            <m:sty m:val="p"/>
          </m:rPr>
          <m:t>/</m:t>
        </m:r>
        <m:sSubSup>
          <m:e>
            <m:r>
              <m:t>σ</m:t>
            </m:r>
          </m:e>
          <m:sub>
            <m:r>
              <m:t>ε</m:t>
            </m:r>
          </m:sub>
          <m:sup>
            <m:r>
              <m:t>2</m:t>
            </m:r>
          </m:sup>
        </m:sSubSup>
        <m:sSup>
          <m:e>
            <m:r>
              <m:rPr>
                <m:sty m:val="p"/>
              </m:rPr>
              <m:t>)</m:t>
            </m:r>
          </m:e>
          <m:sup>
            <m:r>
              <m:rPr>
                <m:sty m:val="p"/>
              </m:rPr>
              <m:t>−</m:t>
            </m:r>
            <m:r>
              <m:t>1</m:t>
            </m:r>
          </m:sup>
        </m:sSup>
      </m:oMath>
      <w:r>
        <w:t xml:space="preserve">, is the posterior variance when</w:t>
      </w:r>
      <w:r>
        <w:t xml:space="preserve"> </w:t>
      </w:r>
      <m:oMath>
        <m:r>
          <m:t>u</m:t>
        </m:r>
      </m:oMath>
      <w:r>
        <w:t xml:space="preserve"> </w:t>
      </w:r>
      <w:r>
        <w:t xml:space="preserve">and the noise are Gaussian. Without Gaussianity, Eq. (A1) is the error of the best linear predictor, which is the BLUP of the random-effects literature [32, 33]. Two properties are used in the text:</w:t>
      </w:r>
      <w:r>
        <w:t xml:space="preserve"> </w:t>
      </w:r>
      <m:oMath>
        <m:r>
          <m:t>V</m:t>
        </m:r>
        <m:r>
          <m:rPr>
            <m:sty m:val="p"/>
          </m:rPr>
          <m:t>(</m:t>
        </m:r>
        <m:r>
          <m:t>n</m:t>
        </m:r>
        <m:r>
          <m:rPr>
            <m:sty m:val="p"/>
          </m:rPr>
          <m:t>)</m:t>
        </m:r>
        <m:r>
          <m:rPr>
            <m:sty m:val="p"/>
          </m:rPr>
          <m:t>≤</m:t>
        </m:r>
        <m:sSubSup>
          <m:e>
            <m:r>
              <m:t>σ</m:t>
            </m:r>
          </m:e>
          <m:sub>
            <m:r>
              <m:t>u</m:t>
            </m:r>
          </m:sub>
          <m:sup>
            <m:r>
              <m:t>2</m:t>
            </m:r>
          </m:sup>
        </m:sSubSup>
      </m:oMath>
      <w:r>
        <w:t xml:space="preserve"> </w:t>
      </w:r>
      <w:r>
        <w:t xml:space="preserve">with</w:t>
      </w:r>
      <w:r>
        <w:t xml:space="preserve"> </w:t>
      </w:r>
      <m:oMath>
        <m:r>
          <m:t>V</m:t>
        </m:r>
        <m:r>
          <m:rPr>
            <m:sty m:val="p"/>
          </m:rPr>
          <m:t>(</m:t>
        </m:r>
        <m:r>
          <m:t>0</m:t>
        </m:r>
        <m:r>
          <m:rPr>
            <m:sty m:val="p"/>
          </m:rPr>
          <m:t>)</m:t>
        </m:r>
        <m:r>
          <m:rPr>
            <m:sty m:val="p"/>
          </m:rPr>
          <m:t>=</m:t>
        </m:r>
        <m:sSubSup>
          <m:e>
            <m:r>
              <m:t>σ</m:t>
            </m:r>
          </m:e>
          <m:sub>
            <m:r>
              <m:t>u</m:t>
            </m:r>
          </m:sub>
          <m:sup>
            <m:r>
              <m:t>2</m:t>
            </m:r>
          </m:sup>
        </m:sSubSup>
      </m:oMath>
      <w:r>
        <w:t xml:space="preserve">, and</w:t>
      </w:r>
      <w:r>
        <w:t xml:space="preserve"> </w:t>
      </w:r>
      <m:oMath>
        <m:r>
          <m:t>V</m:t>
        </m:r>
        <m:r>
          <m:rPr>
            <m:sty m:val="p"/>
          </m:rPr>
          <m:t>(</m:t>
        </m:r>
        <m:r>
          <m:t>n</m:t>
        </m:r>
        <m:r>
          <m:rPr>
            <m:sty m:val="p"/>
          </m:rPr>
          <m:t>)</m:t>
        </m:r>
        <m:r>
          <m:rPr>
            <m:sty m:val="p"/>
          </m:rPr>
          <m:t>→</m:t>
        </m:r>
        <m:r>
          <m:t>0</m:t>
        </m:r>
      </m:oMath>
      <w:r>
        <w:t xml:space="preserve"> </w:t>
      </w:r>
      <w:r>
        <w:t xml:space="preserve">as</w:t>
      </w:r>
      <w:r>
        <w:t xml:space="preserve"> </w:t>
      </w:r>
      <m:oMath>
        <m:r>
          <m:t>n</m:t>
        </m:r>
        <m:r>
          <m:rPr>
            <m:sty m:val="p"/>
          </m:rPr>
          <m:t>→</m:t>
        </m:r>
        <m:r>
          <m:rPr>
            <m:sty m:val="p"/>
          </m:rPr>
          <m:t>∞</m:t>
        </m:r>
      </m:oMath>
      <w:r>
        <w:t xml:space="preserve">.</w:t>
      </w:r>
    </w:p>
    <w:bookmarkEnd w:id="123"/>
    <w:bookmarkStart w:id="124" w:name="X3ba593dfc11a5af382ec52f02bdb7847a88c9c5"/>
    <w:p>
      <w:pPr>
        <w:pStyle w:val="Heading2"/>
      </w:pPr>
      <w:r>
        <w:t xml:space="preserve">A.2 Inflation of the idealised learner (Eq. 6)</w:t>
      </w:r>
    </w:p>
    <w:p>
      <w:pPr>
        <w:pStyle w:val="FirstParagraph"/>
      </w:pPr>
      <w:r>
        <w:t xml:space="preserve">For a test row of a seen group the learner predicts</w:t>
      </w:r>
      <w:r>
        <w:t xml:space="preserve"> </w:t>
      </w:r>
      <m:oMath>
        <m:r>
          <m:t>f</m:t>
        </m:r>
        <m:r>
          <m:rPr>
            <m:sty m:val="p"/>
          </m:rPr>
          <m:t>(</m:t>
        </m:r>
        <m:r>
          <m:t>x</m:t>
        </m:r>
        <m:r>
          <m:rPr>
            <m:sty m:val="p"/>
          </m:rPr>
          <m:t>)</m:t>
        </m:r>
        <m:r>
          <m:rPr>
            <m:sty m:val="p"/>
          </m:rPr>
          <m:t>+</m:t>
        </m:r>
        <m:acc>
          <m:accPr>
            <m:chr m:val="̂"/>
          </m:accPr>
          <m:e>
            <m:r>
              <m:t>u</m:t>
            </m:r>
          </m:e>
        </m:acc>
      </m:oMath>
      <w:r>
        <w:t xml:space="preserve">, so the error is</w:t>
      </w:r>
      <w:r>
        <w:t xml:space="preserve"> </w:t>
      </w:r>
      <m:oMath>
        <m:r>
          <m:t>ε</m:t>
        </m:r>
        <m:r>
          <m:rPr>
            <m:sty m:val="p"/>
          </m:rPr>
          <m:t>+</m:t>
        </m:r>
        <m:r>
          <m:rPr>
            <m:sty m:val="p"/>
          </m:rPr>
          <m:t>(</m:t>
        </m:r>
        <m:r>
          <m:t>u</m:t>
        </m:r>
        <m:r>
          <m:rPr>
            <m:sty m:val="p"/>
          </m:rPr>
          <m:t>−</m:t>
        </m:r>
        <m:acc>
          <m:accPr>
            <m:chr m:val="̂"/>
          </m:accPr>
          <m:e>
            <m:r>
              <m:t>u</m:t>
            </m:r>
          </m:e>
        </m:acc>
        <m:r>
          <m:rPr>
            <m:sty m:val="p"/>
          </m:rPr>
          <m:t>)</m:t>
        </m:r>
      </m:oMath>
      <w:r>
        <w:t xml:space="preserve">. The noise</w:t>
      </w:r>
      <w:r>
        <w:t xml:space="preserve"> </w:t>
      </w:r>
      <m:oMath>
        <m:r>
          <m:t>ε</m:t>
        </m:r>
      </m:oMath>
      <w:r>
        <w:t xml:space="preserve"> </w:t>
      </w:r>
      <w:r>
        <w:t xml:space="preserve">of the test row is independent of the training rows, and</w:t>
      </w:r>
      <w:r>
        <w:t xml:space="preserve"> </w:t>
      </w:r>
      <m:oMath>
        <m:r>
          <m:t>u</m:t>
        </m:r>
        <m:r>
          <m:rPr>
            <m:sty m:val="p"/>
          </m:rPr>
          <m:t>−</m:t>
        </m:r>
        <m:acc>
          <m:accPr>
            <m:chr m:val="̂"/>
          </m:accPr>
          <m:e>
            <m:r>
              <m:t>u</m:t>
            </m:r>
          </m:e>
        </m:acc>
      </m:oMath>
      <w:r>
        <w:t xml:space="preserve"> </w:t>
      </w:r>
      <w:r>
        <w:t xml:space="preserve">depends only on training rows; hence</w:t>
      </w:r>
      <w:r>
        <w:t xml:space="preserve"> </w:t>
      </w:r>
      <m:oMath>
        <m:sSub>
          <m:e>
            <m:r>
              <m:t>R</m:t>
            </m:r>
          </m:e>
          <m:sub>
            <m:r>
              <m:rPr>
                <m:sty m:val="p"/>
              </m:rPr>
              <m:t>r</m:t>
            </m:r>
            <m:r>
              <m:rPr>
                <m:sty m:val="p"/>
              </m:rPr>
              <m:t>a</m:t>
            </m:r>
            <m:r>
              <m:rPr>
                <m:sty m:val="p"/>
              </m:rPr>
              <m:t>n</m:t>
            </m:r>
            <m:r>
              <m:rPr>
                <m:sty m:val="p"/>
              </m:rPr>
              <m:t>d</m:t>
            </m:r>
          </m:sub>
        </m:sSub>
        <m:r>
          <m:rPr>
            <m:sty m:val="p"/>
          </m:rPr>
          <m:t>=</m:t>
        </m:r>
        <m:sSubSup>
          <m:e>
            <m:r>
              <m:t>σ</m:t>
            </m:r>
          </m:e>
          <m:sub>
            <m:r>
              <m:t>ε</m:t>
            </m:r>
          </m:sub>
          <m:sup>
            <m:r>
              <m:t>2</m:t>
            </m:r>
          </m:sup>
        </m:sSubSup>
        <m:r>
          <m:rPr>
            <m:sty m:val="p"/>
          </m:rPr>
          <m:t>+</m:t>
        </m:r>
        <m:r>
          <m:t>V</m:t>
        </m:r>
        <m:r>
          <m:rPr>
            <m:sty m:val="p"/>
          </m:rPr>
          <m:t>(</m:t>
        </m:r>
        <m:r>
          <m:t>n</m:t>
        </m:r>
        <m:r>
          <m:rPr>
            <m:sty m:val="p"/>
          </m:rPr>
          <m:t>)</m:t>
        </m:r>
      </m:oMath>
      <w:r>
        <w:t xml:space="preserve">. For a test row of an unseen group the learner can only predict</w:t>
      </w:r>
      <w:r>
        <w:t xml:space="preserve"> </w:t>
      </w:r>
      <m:oMath>
        <m:r>
          <m:t>f</m:t>
        </m:r>
        <m:r>
          <m:rPr>
            <m:sty m:val="p"/>
          </m:rPr>
          <m:t>(</m:t>
        </m:r>
        <m:r>
          <m:t>x</m:t>
        </m:r>
        <m:r>
          <m:rPr>
            <m:sty m:val="p"/>
          </m:rPr>
          <m:t>)</m:t>
        </m:r>
      </m:oMath>
      <w:r>
        <w:t xml:space="preserve"> </w:t>
      </w:r>
      <w:r>
        <w:t xml:space="preserve">(the offset has mean zero), and the error is</w:t>
      </w:r>
      <w:r>
        <w:t xml:space="preserve"> </w:t>
      </w:r>
      <m:oMath>
        <m:r>
          <m:t>u</m:t>
        </m:r>
        <m:r>
          <m:rPr>
            <m:sty m:val="p"/>
          </m:rPr>
          <m:t>+</m:t>
        </m:r>
        <m:r>
          <m:t>ε</m:t>
        </m:r>
      </m:oMath>
      <w:r>
        <w:t xml:space="preserve">, so</w:t>
      </w:r>
      <w:r>
        <w:t xml:space="preserve"> </w:t>
      </w:r>
      <m:oMath>
        <m:sSub>
          <m:e>
            <m:r>
              <m:t>R</m:t>
            </m:r>
          </m:e>
          <m:sub>
            <m:r>
              <m:rPr>
                <m:sty m:val="p"/>
              </m:rPr>
              <m:t>g</m:t>
            </m:r>
            <m:r>
              <m:rPr>
                <m:sty m:val="p"/>
              </m:rPr>
              <m:t>r</m:t>
            </m:r>
            <m:r>
              <m:rPr>
                <m:sty m:val="p"/>
              </m:rPr>
              <m:t>p</m:t>
            </m:r>
          </m:sub>
        </m:sSub>
        <m:r>
          <m:rPr>
            <m:sty m:val="p"/>
          </m:rPr>
          <m:t>=</m:t>
        </m:r>
        <m:sSubSup>
          <m:e>
            <m:r>
              <m:t>σ</m:t>
            </m:r>
          </m:e>
          <m:sub>
            <m:r>
              <m:t>u</m:t>
            </m:r>
          </m:sub>
          <m:sup>
            <m:r>
              <m:t>2</m:t>
            </m:r>
          </m:sup>
        </m:sSubSup>
        <m:r>
          <m:rPr>
            <m:sty m:val="p"/>
          </m:rPr>
          <m:t>+</m:t>
        </m:r>
        <m:sSubSup>
          <m:e>
            <m:r>
              <m:t>σ</m:t>
            </m:r>
          </m:e>
          <m:sub>
            <m:r>
              <m:t>ε</m:t>
            </m:r>
          </m:sub>
          <m:sup>
            <m:r>
              <m:t>2</m:t>
            </m:r>
          </m:sup>
        </m:sSubSup>
        <m:r>
          <m:rPr>
            <m:sty m:val="p"/>
          </m:rPr>
          <m:t>=</m:t>
        </m:r>
        <m:sSup>
          <m:e>
            <m:r>
              <m:t>σ</m:t>
            </m:r>
          </m:e>
          <m:sup>
            <m:r>
              <m:t>2</m:t>
            </m:r>
          </m:sup>
        </m:sSup>
      </m:oMath>
      <w:r>
        <w:t xml:space="preserve">. With</w:t>
      </w:r>
      <w:r>
        <w:t xml:space="preserve"> </w:t>
      </w:r>
      <m:oMath>
        <m:sSup>
          <m:e>
            <m:r>
              <m:t>σ</m:t>
            </m:r>
          </m:e>
          <m:sup>
            <m:r>
              <m:t>2</m:t>
            </m:r>
          </m:sup>
        </m:sSup>
        <m:r>
          <m:rPr>
            <m:sty m:val="p"/>
          </m:rPr>
          <m:t>=</m:t>
        </m:r>
        <m:r>
          <m:t>1</m:t>
        </m:r>
      </m:oMath>
      <w:r>
        <w:t xml:space="preserve">,</w:t>
      </w:r>
      <w:r>
        <w:t xml:space="preserve"> </w:t>
      </w:r>
      <m:oMath>
        <m:sSubSup>
          <m:e>
            <m:r>
              <m:t>σ</m:t>
            </m:r>
          </m:e>
          <m:sub>
            <m:r>
              <m:t>u</m:t>
            </m:r>
          </m:sub>
          <m:sup>
            <m:r>
              <m:t>2</m:t>
            </m:r>
          </m:sup>
        </m:sSubSup>
        <m:r>
          <m:rPr>
            <m:sty m:val="p"/>
          </m:rPr>
          <m:t>=</m:t>
        </m:r>
        <m:r>
          <m:t>r</m:t>
        </m:r>
      </m:oMath>
      <w:r>
        <w:t xml:space="preserve"> </w:t>
      </w:r>
      <w:r>
        <w:t xml:space="preserve">and</w:t>
      </w:r>
      <w:r>
        <w:t xml:space="preserve"> </w:t>
      </w:r>
      <m:oMath>
        <m:sSubSup>
          <m:e>
            <m:r>
              <m:t>σ</m:t>
            </m:r>
          </m:e>
          <m:sub>
            <m:r>
              <m:t>ε</m:t>
            </m:r>
          </m:sub>
          <m:sup>
            <m:r>
              <m:t>2</m:t>
            </m:r>
          </m:sup>
        </m:sSubSup>
        <m:r>
          <m:rPr>
            <m:sty m:val="p"/>
          </m:rPr>
          <m:t>=</m:t>
        </m:r>
        <m:r>
          <m:t>1</m:t>
        </m:r>
        <m:r>
          <m:rPr>
            <m:sty m:val="p"/>
          </m:rPr>
          <m:t>−</m:t>
        </m:r>
        <m:r>
          <m:t>r</m:t>
        </m:r>
      </m:oMath>
      <w:r>
        <w:t xml:space="preserve">,</w:t>
      </w:r>
    </w:p>
    <w:p>
      <w:pPr>
        <w:pStyle w:val="BodyText"/>
      </w:pPr>
      <m:oMathPara>
        <m:oMathParaPr>
          <m:jc m:val="center"/>
        </m:oMathParaPr>
        <m:oMath>
          <m:sSup>
            <m:e>
              <m:r>
                <m:t>ρ</m:t>
              </m:r>
            </m:e>
            <m:sup>
              <m:r>
                <m:t>2</m:t>
              </m:r>
            </m:sup>
          </m:sSup>
          <m:r>
            <m:rPr>
              <m:sty m:val="p"/>
            </m:rPr>
            <m:t>=</m:t>
          </m:r>
          <m:f>
            <m:fPr>
              <m:type m:val="bar"/>
            </m:fPr>
            <m:num>
              <m:sSub>
                <m:e>
                  <m:r>
                    <m:t>R</m:t>
                  </m:r>
                </m:e>
                <m:sub>
                  <m:r>
                    <m:rPr>
                      <m:sty m:val="p"/>
                    </m:rPr>
                    <m:t>g</m:t>
                  </m:r>
                  <m:r>
                    <m:rPr>
                      <m:sty m:val="p"/>
                    </m:rPr>
                    <m:t>r</m:t>
                  </m:r>
                  <m:r>
                    <m:rPr>
                      <m:sty m:val="p"/>
                    </m:rPr>
                    <m:t>p</m:t>
                  </m:r>
                </m:sub>
              </m:sSub>
            </m:num>
            <m:den>
              <m:sSub>
                <m:e>
                  <m:r>
                    <m:t>R</m:t>
                  </m:r>
                </m:e>
                <m:sub>
                  <m:r>
                    <m:rPr>
                      <m:sty m:val="p"/>
                    </m:rPr>
                    <m:t>r</m:t>
                  </m:r>
                  <m:r>
                    <m:rPr>
                      <m:sty m:val="p"/>
                    </m:rPr>
                    <m:t>a</m:t>
                  </m:r>
                  <m:r>
                    <m:rPr>
                      <m:sty m:val="p"/>
                    </m:rPr>
                    <m:t>n</m:t>
                  </m:r>
                  <m:r>
                    <m:rPr>
                      <m:sty m:val="p"/>
                    </m:rPr>
                    <m:t>d</m:t>
                  </m:r>
                </m:sub>
              </m:sSub>
            </m:den>
          </m:f>
          <m:r>
            <m:rPr>
              <m:sty m:val="p"/>
            </m:rPr>
            <m:t>=</m:t>
          </m:r>
          <m:f>
            <m:fPr>
              <m:type m:val="bar"/>
            </m:fPr>
            <m:num>
              <m:r>
                <m:t>1</m:t>
              </m:r>
            </m:num>
            <m:den>
              <m:r>
                <m:rPr>
                  <m:sty m:val="p"/>
                </m:rPr>
                <m:t>(</m:t>
              </m:r>
              <m:r>
                <m:t>1</m:t>
              </m:r>
              <m:r>
                <m:rPr>
                  <m:sty m:val="p"/>
                </m:rPr>
                <m:t>−</m:t>
              </m:r>
              <m:r>
                <m:t>r</m:t>
              </m:r>
              <m:r>
                <m:rPr>
                  <m:sty m:val="p"/>
                </m:rPr>
                <m:t>)</m:t>
              </m:r>
              <m:r>
                <m:rPr>
                  <m:sty m:val="p"/>
                </m:rPr>
                <m:t>+</m:t>
              </m:r>
              <m:r>
                <m:t>V</m:t>
              </m:r>
              <m:r>
                <m:rPr>
                  <m:sty m:val="p"/>
                </m:rPr>
                <m:t>(</m:t>
              </m:r>
              <m:r>
                <m:t>n</m:t>
              </m:r>
              <m:r>
                <m:rPr>
                  <m:sty m:val="p"/>
                </m:rPr>
                <m:t>)</m:t>
              </m:r>
            </m:den>
          </m:f>
          <m:r>
            <m:rPr>
              <m:sty m:val="p"/>
            </m:rPr>
            <m:t>,</m:t>
          </m:r>
          <m:r>
            <m:t>  </m:t>
          </m:r>
          <m:r>
            <m:t>V</m:t>
          </m:r>
          <m:r>
            <m:rPr>
              <m:sty m:val="p"/>
            </m:rPr>
            <m:t>(</m:t>
          </m:r>
          <m:r>
            <m:t>n</m:t>
          </m:r>
          <m:r>
            <m:rPr>
              <m:sty m:val="p"/>
            </m:rPr>
            <m:t>)</m:t>
          </m:r>
          <m:r>
            <m:rPr>
              <m:sty m:val="p"/>
            </m:rPr>
            <m:t>=</m:t>
          </m:r>
          <m:f>
            <m:fPr>
              <m:type m:val="bar"/>
            </m:fPr>
            <m:num>
              <m:r>
                <m:t>r</m:t>
              </m:r>
              <m:r>
                <m:rPr>
                  <m:sty m:val="p"/>
                </m:rPr>
                <m:t>(</m:t>
              </m:r>
              <m:r>
                <m:t>1</m:t>
              </m:r>
              <m:r>
                <m:rPr>
                  <m:sty m:val="p"/>
                </m:rPr>
                <m:t>−</m:t>
              </m:r>
              <m:r>
                <m:t>r</m:t>
              </m:r>
              <m:r>
                <m:rPr>
                  <m:sty m:val="p"/>
                </m:rPr>
                <m:t>)</m:t>
              </m:r>
            </m:num>
            <m:den>
              <m:r>
                <m:rPr>
                  <m:sty m:val="p"/>
                </m:rPr>
                <m:t>(</m:t>
              </m:r>
              <m:r>
                <m:t>1</m:t>
              </m:r>
              <m:r>
                <m:rPr>
                  <m:sty m:val="p"/>
                </m:rPr>
                <m:t>−</m:t>
              </m:r>
              <m:r>
                <m:t>r</m:t>
              </m:r>
              <m:r>
                <m:rPr>
                  <m:sty m:val="p"/>
                </m:rPr>
                <m:t>)</m:t>
              </m:r>
              <m:r>
                <m:rPr>
                  <m:sty m:val="p"/>
                </m:rPr>
                <m:t>+</m:t>
              </m:r>
              <m:r>
                <m:t>n</m:t>
              </m:r>
              <m:r>
                <m:t>r</m:t>
              </m:r>
            </m:den>
          </m:f>
          <m:r>
            <m:rPr>
              <m:sty m:val="p"/>
            </m:rPr>
            <m:t>.</m:t>
          </m:r>
          <m:r>
            <m:t>  </m:t>
          </m:r>
          <m:r>
            <m:t>  </m:t>
          </m:r>
          <m:r>
            <m:rPr>
              <m:sty m:val="p"/>
            </m:rPr>
            <m:t>(</m:t>
          </m:r>
          <m:r>
            <m:t>A</m:t>
          </m:r>
          <m:r>
            <m:t>2</m:t>
          </m:r>
          <m:r>
            <m:rPr>
              <m:sty m:val="p"/>
            </m:rPr>
            <m:t>)</m:t>
          </m:r>
        </m:oMath>
      </m:oMathPara>
    </w:p>
    <w:p>
      <w:pPr>
        <w:pStyle w:val="FirstParagraph"/>
      </w:pPr>
      <w:r>
        <w:t xml:space="preserve">For</w:t>
      </w:r>
      <w:r>
        <w:t xml:space="preserve"> </w:t>
      </w:r>
      <m:oMath>
        <m:r>
          <m:t>n</m:t>
        </m:r>
        <m:r>
          <m:rPr>
            <m:sty m:val="p"/>
          </m:rPr>
          <m:t>→</m:t>
        </m:r>
        <m:r>
          <m:rPr>
            <m:sty m:val="p"/>
          </m:rPr>
          <m:t>∞</m:t>
        </m:r>
      </m:oMath>
      <w:r>
        <w:t xml:space="preserve">,</w:t>
      </w:r>
      <w:r>
        <w:t xml:space="preserve"> </w:t>
      </w:r>
      <m:oMath>
        <m:r>
          <m:t>V</m:t>
        </m:r>
        <m:r>
          <m:rPr>
            <m:sty m:val="p"/>
          </m:rPr>
          <m:t>→</m:t>
        </m:r>
        <m:r>
          <m:t>0</m:t>
        </m:r>
      </m:oMath>
      <w:r>
        <w:t xml:space="preserve"> </w:t>
      </w:r>
      <w:r>
        <w:t xml:space="preserve">and</w:t>
      </w:r>
      <w:r>
        <w:t xml:space="preserve"> </w:t>
      </w:r>
      <m:oMath>
        <m:sSup>
          <m:e>
            <m:r>
              <m:t>ρ</m:t>
            </m:r>
          </m:e>
          <m:sup>
            <m:r>
              <m:t>2</m:t>
            </m:r>
          </m:sup>
        </m:sSup>
        <m:r>
          <m:rPr>
            <m:sty m:val="p"/>
          </m:rPr>
          <m:t>→</m:t>
        </m:r>
        <m:r>
          <m:t>1</m:t>
        </m:r>
        <m:r>
          <m:rPr>
            <m:sty m:val="p"/>
          </m:rPr>
          <m:t>/</m:t>
        </m:r>
        <m:r>
          <m:rPr>
            <m:sty m:val="p"/>
          </m:rPr>
          <m:t>(</m:t>
        </m:r>
        <m:r>
          <m:t>1</m:t>
        </m:r>
        <m:r>
          <m:rPr>
            <m:sty m:val="p"/>
          </m:rPr>
          <m:t>−</m:t>
        </m:r>
        <m:r>
          <m:t>r</m:t>
        </m:r>
        <m:r>
          <m:rPr>
            <m:sty m:val="p"/>
          </m:rPr>
          <m:t>)</m:t>
        </m:r>
      </m:oMath>
      <w:r>
        <w:t xml:space="preserve">, which is Eq. (7). Monotonicity:</w:t>
      </w:r>
      <w:r>
        <w:t xml:space="preserve"> </w:t>
      </w:r>
      <m:oMath>
        <m:r>
          <m:t>V</m:t>
        </m:r>
        <m:r>
          <m:rPr>
            <m:sty m:val="p"/>
          </m:rPr>
          <m:t>(</m:t>
        </m:r>
        <m:r>
          <m:t>n</m:t>
        </m:r>
        <m:r>
          <m:rPr>
            <m:sty m:val="p"/>
          </m:rPr>
          <m:t>)</m:t>
        </m:r>
      </m:oMath>
      <w:r>
        <w:t xml:space="preserve"> </w:t>
      </w:r>
      <w:r>
        <w:t xml:space="preserve">decreases in</w:t>
      </w:r>
      <w:r>
        <w:t xml:space="preserve"> </w:t>
      </w:r>
      <m:oMath>
        <m:r>
          <m:t>n</m:t>
        </m:r>
      </m:oMath>
      <w:r>
        <w:t xml:space="preserve">, so</w:t>
      </w:r>
      <w:r>
        <w:t xml:space="preserve"> </w:t>
      </w:r>
      <m:oMath>
        <m:r>
          <m:t>ρ</m:t>
        </m:r>
      </m:oMath>
      <w:r>
        <w:t xml:space="preserve"> </w:t>
      </w:r>
      <w:r>
        <w:t xml:space="preserve">increases with the number of training rows per group, and increases with</w:t>
      </w:r>
      <w:r>
        <w:t xml:space="preserve"> </w:t>
      </w:r>
      <m:oMath>
        <m:r>
          <m:t>r</m:t>
        </m:r>
      </m:oMath>
      <w:r>
        <w:t xml:space="preserve"> </w:t>
      </w:r>
      <w:r>
        <w:t xml:space="preserve">for fixed</w:t>
      </w:r>
      <w:r>
        <w:t xml:space="preserve"> </w:t>
      </w:r>
      <m:oMath>
        <m:r>
          <m:t>n</m:t>
        </m:r>
      </m:oMath>
      <w:r>
        <w:t xml:space="preserve"> </w:t>
      </w:r>
      <w:r>
        <w:t xml:space="preserve">because both</w:t>
      </w:r>
      <w:r>
        <w:t xml:space="preserve"> </w:t>
      </w:r>
      <m:oMath>
        <m:r>
          <m:t>1</m:t>
        </m:r>
        <m:r>
          <m:rPr>
            <m:sty m:val="p"/>
          </m:rPr>
          <m:t>/</m:t>
        </m:r>
        <m:r>
          <m:rPr>
            <m:sty m:val="p"/>
          </m:rPr>
          <m:t>(</m:t>
        </m:r>
        <m:r>
          <m:t>1</m:t>
        </m:r>
        <m:r>
          <m:rPr>
            <m:sty m:val="p"/>
          </m:rPr>
          <m:t>−</m:t>
        </m:r>
        <m:r>
          <m:t>r</m:t>
        </m:r>
        <m:r>
          <m:rPr>
            <m:sty m:val="p"/>
          </m:rPr>
          <m:t>)</m:t>
        </m:r>
      </m:oMath>
      <w:r>
        <w:t xml:space="preserve"> </w:t>
      </w:r>
      <w:r>
        <w:t xml:space="preserve">and the shrinkage term increase.</w:t>
      </w:r>
    </w:p>
    <w:bookmarkEnd w:id="124"/>
    <w:bookmarkStart w:id="125" w:name="a.3-learners-of-limited-capacity-eq.-8"/>
    <w:p>
      <w:pPr>
        <w:pStyle w:val="Heading2"/>
      </w:pPr>
      <w:r>
        <w:t xml:space="preserve">A.3 Learners of limited capacity (Eq. 8)</w:t>
      </w:r>
    </w:p>
    <w:p>
      <w:pPr>
        <w:pStyle w:val="FirstParagraph"/>
      </w:pPr>
      <w:r>
        <w:t xml:space="preserve">Let the learner predict</w:t>
      </w:r>
      <w:r>
        <w:t xml:space="preserve"> </w:t>
      </w:r>
      <m:oMath>
        <m:r>
          <m:t>f</m:t>
        </m:r>
        <m:r>
          <m:rPr>
            <m:sty m:val="p"/>
          </m:rPr>
          <m:t>(</m:t>
        </m:r>
        <m:r>
          <m:t>x</m:t>
        </m:r>
        <m:r>
          <m:rPr>
            <m:sty m:val="p"/>
          </m:rPr>
          <m:t>)</m:t>
        </m:r>
        <m:r>
          <m:rPr>
            <m:sty m:val="p"/>
          </m:rPr>
          <m:t>+</m:t>
        </m:r>
        <m:r>
          <m:t>κ</m:t>
        </m:r>
        <m:acc>
          <m:accPr>
            <m:chr m:val="̂"/>
          </m:accPr>
          <m:e>
            <m:r>
              <m:t>u</m:t>
            </m:r>
          </m:e>
        </m:acc>
      </m:oMath>
      <w:r>
        <w:t xml:space="preserve"> </w:t>
      </w:r>
      <w:r>
        <w:t xml:space="preserve">for a seen group. The error is</w:t>
      </w:r>
      <w:r>
        <w:t xml:space="preserve"> </w:t>
      </w:r>
      <m:oMath>
        <m:r>
          <m:t>ε</m:t>
        </m:r>
        <m:r>
          <m:rPr>
            <m:sty m:val="p"/>
          </m:rPr>
          <m:t>+</m:t>
        </m:r>
        <m:r>
          <m:t>u</m:t>
        </m:r>
        <m:r>
          <m:rPr>
            <m:sty m:val="p"/>
          </m:rPr>
          <m:t>−</m:t>
        </m:r>
        <m:r>
          <m:t>κ</m:t>
        </m:r>
        <m:acc>
          <m:accPr>
            <m:chr m:val="̂"/>
          </m:accPr>
          <m:e>
            <m:r>
              <m:t>u</m:t>
            </m:r>
          </m:e>
        </m:acc>
        <m:r>
          <m:rPr>
            <m:sty m:val="p"/>
          </m:rPr>
          <m:t>=</m:t>
        </m:r>
        <m:r>
          <m:t>ε</m:t>
        </m:r>
        <m:r>
          <m:rPr>
            <m:sty m:val="p"/>
          </m:rPr>
          <m:t>+</m:t>
        </m:r>
        <m:r>
          <m:rPr>
            <m:sty m:val="p"/>
          </m:rPr>
          <m:t>(</m:t>
        </m:r>
        <m:r>
          <m:t>u</m:t>
        </m:r>
        <m:r>
          <m:rPr>
            <m:sty m:val="p"/>
          </m:rPr>
          <m:t>−</m:t>
        </m:r>
        <m:acc>
          <m:accPr>
            <m:chr m:val="̂"/>
          </m:accPr>
          <m:e>
            <m:r>
              <m:t>u</m:t>
            </m:r>
          </m:e>
        </m:acc>
        <m:r>
          <m:rPr>
            <m:sty m:val="p"/>
          </m:rPr>
          <m:t>)</m:t>
        </m:r>
        <m:r>
          <m:rPr>
            <m:sty m:val="p"/>
          </m:rPr>
          <m:t>+</m:t>
        </m:r>
        <m:r>
          <m:rPr>
            <m:sty m:val="p"/>
          </m:rPr>
          <m:t>(</m:t>
        </m:r>
        <m:r>
          <m:t>1</m:t>
        </m:r>
        <m:r>
          <m:rPr>
            <m:sty m:val="p"/>
          </m:rPr>
          <m:t>−</m:t>
        </m:r>
        <m:r>
          <m:t>κ</m:t>
        </m:r>
        <m:r>
          <m:rPr>
            <m:sty m:val="p"/>
          </m:rPr>
          <m:t>)</m:t>
        </m:r>
        <m:acc>
          <m:accPr>
            <m:chr m:val="̂"/>
          </m:accPr>
          <m:e>
            <m:r>
              <m:t>u</m:t>
            </m:r>
          </m:e>
        </m:acc>
      </m:oMath>
      <w:r>
        <w:t xml:space="preserve">. The three terms are uncorrelated (</w:t>
      </w:r>
      <m:oMath>
        <m:r>
          <m:t>ε</m:t>
        </m:r>
      </m:oMath>
      <w:r>
        <w:t xml:space="preserve"> </w:t>
      </w:r>
      <w:r>
        <w:t xml:space="preserve">is independent of everything else, and</w:t>
      </w:r>
      <w:r>
        <w:t xml:space="preserve"> </w:t>
      </w:r>
      <m:oMath>
        <m:r>
          <m:t>u</m:t>
        </m:r>
        <m:r>
          <m:rPr>
            <m:sty m:val="p"/>
          </m:rPr>
          <m:t>−</m:t>
        </m:r>
        <m:acc>
          <m:accPr>
            <m:chr m:val="̂"/>
          </m:accPr>
          <m:e>
            <m:r>
              <m:t>u</m:t>
            </m:r>
          </m:e>
        </m:acc>
      </m:oMath>
      <w:r>
        <w:t xml:space="preserve"> </w:t>
      </w:r>
      <w:r>
        <w:t xml:space="preserve">is orthogonal to</w:t>
      </w:r>
      <w:r>
        <w:t xml:space="preserve"> </w:t>
      </w:r>
      <m:oMath>
        <m:acc>
          <m:accPr>
            <m:chr m:val="̂"/>
          </m:accPr>
          <m:e>
            <m:r>
              <m:t>u</m:t>
            </m:r>
          </m:e>
        </m:acc>
      </m:oMath>
      <w:r>
        <w:t xml:space="preserve"> </w:t>
      </w:r>
      <w:r>
        <w:t xml:space="preserve">because</w:t>
      </w:r>
      <w:r>
        <w:t xml:space="preserve"> </w:t>
      </w:r>
      <m:oMath>
        <m:acc>
          <m:accPr>
            <m:chr m:val="̂"/>
          </m:accPr>
          <m:e>
            <m:r>
              <m:t>u</m:t>
            </m:r>
          </m:e>
        </m:acc>
      </m:oMath>
      <w:r>
        <w:t xml:space="preserve"> </w:t>
      </w:r>
      <w:r>
        <w:t xml:space="preserve">is the projection of</w:t>
      </w:r>
      <w:r>
        <w:t xml:space="preserve"> </w:t>
      </w:r>
      <m:oMath>
        <m:r>
          <m:t>u</m:t>
        </m:r>
      </m:oMath>
      <w:r>
        <w:t xml:space="preserve"> </w:t>
      </w:r>
      <w:r>
        <w:t xml:space="preserve">on</w:t>
      </w:r>
      <w:r>
        <w:t xml:space="preserve"> </w:t>
      </w:r>
      <m:oMath>
        <m:acc>
          <m:accPr>
            <m:chr m:val="‾"/>
          </m:accPr>
          <m:e>
            <m:r>
              <m:t>e</m:t>
            </m:r>
          </m:e>
        </m:acc>
      </m:oMath>
      <w:r>
        <w:t xml:space="preserve">). With</w:t>
      </w:r>
      <w:r>
        <w:t xml:space="preserve"> </w:t>
      </w:r>
      <m:oMath>
        <m:r>
          <m:rPr>
            <m:sty m:val="p"/>
          </m:rPr>
          <m:t>Var</m:t>
        </m:r>
        <m:r>
          <m:rPr>
            <m:sty m:val="p"/>
          </m:rPr>
          <m:t>(</m:t>
        </m:r>
        <m:acc>
          <m:accPr>
            <m:chr m:val="̂"/>
          </m:accPr>
          <m:e>
            <m:r>
              <m:t>u</m:t>
            </m:r>
          </m:e>
        </m:acc>
        <m:r>
          <m:rPr>
            <m:sty m:val="p"/>
          </m:rPr>
          <m:t>)</m:t>
        </m:r>
        <m:r>
          <m:rPr>
            <m:sty m:val="p"/>
          </m:rPr>
          <m:t>=</m:t>
        </m:r>
        <m:r>
          <m:rPr>
            <m:sty m:val="p"/>
          </m:rPr>
          <m:t>Var</m:t>
        </m:r>
        <m:r>
          <m:rPr>
            <m:sty m:val="p"/>
          </m:rPr>
          <m:t>(</m:t>
        </m:r>
        <m:r>
          <m:t>u</m:t>
        </m:r>
        <m:r>
          <m:rPr>
            <m:sty m:val="p"/>
          </m:rPr>
          <m:t>)</m:t>
        </m:r>
        <m:r>
          <m:rPr>
            <m:sty m:val="p"/>
          </m:rPr>
          <m:t>−</m:t>
        </m:r>
        <m:r>
          <m:rPr>
            <m:sty m:val="p"/>
          </m:rPr>
          <m:t>Var</m:t>
        </m:r>
        <m:r>
          <m:rPr>
            <m:sty m:val="p"/>
          </m:rPr>
          <m:t>(</m:t>
        </m:r>
        <m:r>
          <m:t>u</m:t>
        </m:r>
        <m:r>
          <m:rPr>
            <m:sty m:val="p"/>
          </m:rPr>
          <m:t>−</m:t>
        </m:r>
        <m:acc>
          <m:accPr>
            <m:chr m:val="̂"/>
          </m:accPr>
          <m:e>
            <m:r>
              <m:t>u</m:t>
            </m:r>
          </m:e>
        </m:acc>
        <m:r>
          <m:rPr>
            <m:sty m:val="p"/>
          </m:rPr>
          <m:t>)</m:t>
        </m:r>
        <m:r>
          <m:rPr>
            <m:sty m:val="p"/>
          </m:rPr>
          <m:t>=</m:t>
        </m:r>
        <m:sSubSup>
          <m:e>
            <m:r>
              <m:t>σ</m:t>
            </m:r>
          </m:e>
          <m:sub>
            <m:r>
              <m:t>u</m:t>
            </m:r>
          </m:sub>
          <m:sup>
            <m:r>
              <m:t>2</m:t>
            </m:r>
          </m:sup>
        </m:sSubSup>
        <m:r>
          <m:rPr>
            <m:sty m:val="p"/>
          </m:rPr>
          <m:t>−</m:t>
        </m:r>
        <m:r>
          <m:t>V</m:t>
        </m:r>
        <m:r>
          <m:rPr>
            <m:sty m:val="p"/>
          </m:rPr>
          <m:t>(</m:t>
        </m:r>
        <m:r>
          <m:t>n</m:t>
        </m:r>
        <m:r>
          <m:rPr>
            <m:sty m:val="p"/>
          </m:rPr>
          <m:t>)</m:t>
        </m:r>
      </m:oMath>
      <w:r>
        <w:t xml:space="preserve">,</w:t>
      </w:r>
    </w:p>
    <w:p>
      <w:pPr>
        <w:pStyle w:val="BodyText"/>
      </w:pPr>
      <m:oMathPara>
        <m:oMathParaPr>
          <m:jc m:val="center"/>
        </m:oMathParaPr>
        <m:oMath>
          <m:sSub>
            <m:e>
              <m:r>
                <m:t>R</m:t>
              </m:r>
            </m:e>
            <m:sub>
              <m:r>
                <m:rPr>
                  <m:sty m:val="p"/>
                </m:rPr>
                <m:t>r</m:t>
              </m:r>
              <m:r>
                <m:rPr>
                  <m:sty m:val="p"/>
                </m:rPr>
                <m:t>a</m:t>
              </m:r>
              <m:r>
                <m:rPr>
                  <m:sty m:val="p"/>
                </m:rPr>
                <m:t>n</m:t>
              </m:r>
              <m:r>
                <m:rPr>
                  <m:sty m:val="p"/>
                </m:rPr>
                <m:t>d</m:t>
              </m:r>
            </m:sub>
          </m:sSub>
          <m:r>
            <m:rPr>
              <m:sty m:val="p"/>
            </m:rPr>
            <m:t>(</m:t>
          </m:r>
          <m:r>
            <m:t>κ</m:t>
          </m:r>
          <m:r>
            <m:rPr>
              <m:sty m:val="p"/>
            </m:rPr>
            <m:t>)</m:t>
          </m:r>
          <m:r>
            <m:rPr>
              <m:sty m:val="p"/>
            </m:rPr>
            <m:t>=</m:t>
          </m:r>
          <m:sSubSup>
            <m:e>
              <m:r>
                <m:t>σ</m:t>
              </m:r>
            </m:e>
            <m:sub>
              <m:r>
                <m:t>ε</m:t>
              </m:r>
            </m:sub>
            <m:sup>
              <m:r>
                <m:t>2</m:t>
              </m:r>
            </m:sup>
          </m:sSubSup>
          <m:r>
            <m:rPr>
              <m:sty m:val="p"/>
            </m:rPr>
            <m:t>+</m:t>
          </m:r>
          <m:r>
            <m:t>V</m:t>
          </m:r>
          <m:r>
            <m:rPr>
              <m:sty m:val="p"/>
            </m:rPr>
            <m:t>(</m:t>
          </m:r>
          <m:r>
            <m:t>n</m:t>
          </m:r>
          <m:r>
            <m:rPr>
              <m:sty m:val="p"/>
            </m:rPr>
            <m:t>)</m:t>
          </m:r>
          <m:r>
            <m:rPr>
              <m:sty m:val="p"/>
            </m:rPr>
            <m:t>+</m:t>
          </m:r>
          <m:r>
            <m:rPr>
              <m:sty m:val="p"/>
            </m:rPr>
            <m:t>(</m:t>
          </m:r>
          <m:r>
            <m:t>1</m:t>
          </m:r>
          <m:r>
            <m:rPr>
              <m:sty m:val="p"/>
            </m:rPr>
            <m:t>−</m:t>
          </m:r>
          <m:r>
            <m:t>κ</m:t>
          </m:r>
          <m:sSup>
            <m:e>
              <m:r>
                <m:rPr>
                  <m:sty m:val="p"/>
                </m:rPr>
                <m:t>)</m:t>
              </m:r>
            </m:e>
            <m:sup>
              <m:r>
                <m:t>2</m:t>
              </m:r>
            </m:sup>
          </m:sSup>
          <m:d>
            <m:dPr>
              <m:begChr m:val="("/>
              <m:sepChr m:val=""/>
              <m:endChr m:val=")"/>
              <m:grow/>
            </m:dPr>
            <m:e>
              <m:sSubSup>
                <m:e>
                  <m:r>
                    <m:t>σ</m:t>
                  </m:r>
                </m:e>
                <m:sub>
                  <m:r>
                    <m:t>u</m:t>
                  </m:r>
                </m:sub>
                <m:sup>
                  <m:r>
                    <m:t>2</m:t>
                  </m:r>
                </m:sup>
              </m:sSubSup>
              <m:r>
                <m:rPr>
                  <m:sty m:val="p"/>
                </m:rPr>
                <m:t>−</m:t>
              </m:r>
              <m:r>
                <m:t>V</m:t>
              </m:r>
              <m:r>
                <m:rPr>
                  <m:sty m:val="p"/>
                </m:rPr>
                <m:t>(</m:t>
              </m:r>
              <m:r>
                <m:t>n</m:t>
              </m:r>
              <m:r>
                <m:rPr>
                  <m:sty m:val="p"/>
                </m:rPr>
                <m:t>)</m:t>
              </m:r>
            </m:e>
          </m:d>
          <m:r>
            <m:rPr>
              <m:sty m:val="p"/>
            </m:rPr>
            <m:t>.</m:t>
          </m:r>
          <m:r>
            <m:t>  </m:t>
          </m:r>
          <m:r>
            <m:t>  </m:t>
          </m:r>
          <m:r>
            <m:rPr>
              <m:sty m:val="p"/>
            </m:rPr>
            <m:t>(</m:t>
          </m:r>
          <m:r>
            <m:t>A</m:t>
          </m:r>
          <m:r>
            <m:t>3</m:t>
          </m:r>
          <m:r>
            <m:rPr>
              <m:sty m:val="p"/>
            </m:rPr>
            <m:t>)</m:t>
          </m:r>
        </m:oMath>
      </m:oMathPara>
    </w:p>
    <w:p>
      <w:pPr>
        <w:pStyle w:val="FirstParagraph"/>
      </w:pPr>
      <w:r>
        <w:t xml:space="preserve">This is Eq. (8). At</w:t>
      </w:r>
      <w:r>
        <w:t xml:space="preserve"> </w:t>
      </w:r>
      <m:oMath>
        <m:r>
          <m:t>κ</m:t>
        </m:r>
        <m:r>
          <m:rPr>
            <m:sty m:val="p"/>
          </m:rPr>
          <m:t>=</m:t>
        </m:r>
        <m:r>
          <m:t>1</m:t>
        </m:r>
      </m:oMath>
      <w:r>
        <w:t xml:space="preserve"> </w:t>
      </w:r>
      <w:r>
        <w:t xml:space="preserve">it reduces to A.2 and at</w:t>
      </w:r>
      <w:r>
        <w:t xml:space="preserve"> </w:t>
      </w:r>
      <m:oMath>
        <m:r>
          <m:t>κ</m:t>
        </m:r>
        <m:r>
          <m:rPr>
            <m:sty m:val="p"/>
          </m:rPr>
          <m:t>=</m:t>
        </m:r>
        <m:r>
          <m:t>0</m:t>
        </m:r>
      </m:oMath>
      <w:r>
        <w:t xml:space="preserve"> </w:t>
      </w:r>
      <w:r>
        <w:t xml:space="preserve">to</w:t>
      </w:r>
      <w:r>
        <w:t xml:space="preserve"> </w:t>
      </w:r>
      <m:oMath>
        <m:sSup>
          <m:e>
            <m:r>
              <m:t>σ</m:t>
            </m:r>
          </m:e>
          <m:sup>
            <m:r>
              <m:t>2</m:t>
            </m:r>
          </m:sup>
        </m:sSup>
      </m:oMath>
      <w:r>
        <w:t xml:space="preserve">, i.e. </w:t>
      </w:r>
      <m:oMath>
        <m:r>
          <m:t>ρ</m:t>
        </m:r>
        <m:r>
          <m:rPr>
            <m:sty m:val="p"/>
          </m:rPr>
          <m:t>=</m:t>
        </m:r>
        <m:r>
          <m:t>1</m:t>
        </m:r>
      </m:oMath>
      <w:r>
        <w:t xml:space="preserve">.</w:t>
      </w:r>
      <w:r>
        <w:t xml:space="preserve"> </w:t>
      </w:r>
      <m:oMath>
        <m:sSub>
          <m:e>
            <m:r>
              <m:t>R</m:t>
            </m:r>
          </m:e>
          <m:sub>
            <m:r>
              <m:rPr>
                <m:sty m:val="p"/>
              </m:rPr>
              <m:t>r</m:t>
            </m:r>
            <m:r>
              <m:rPr>
                <m:sty m:val="p"/>
              </m:rPr>
              <m:t>a</m:t>
            </m:r>
            <m:r>
              <m:rPr>
                <m:sty m:val="p"/>
              </m:rPr>
              <m:t>n</m:t>
            </m:r>
            <m:r>
              <m:rPr>
                <m:sty m:val="p"/>
              </m:rPr>
              <m:t>d</m:t>
            </m:r>
          </m:sub>
        </m:sSub>
      </m:oMath>
      <w:r>
        <w:t xml:space="preserve"> </w:t>
      </w:r>
      <w:r>
        <w:t xml:space="preserve">is decreasing in</w:t>
      </w:r>
      <w:r>
        <w:t xml:space="preserve"> </w:t>
      </w:r>
      <m:oMath>
        <m:r>
          <m:t>κ</m:t>
        </m:r>
      </m:oMath>
      <w:r>
        <w:t xml:space="preserve"> </w:t>
      </w:r>
      <w:r>
        <w:t xml:space="preserve">on</w:t>
      </w:r>
      <w:r>
        <w:t xml:space="preserve"> </w:t>
      </w:r>
      <m:oMath>
        <m:r>
          <m:rPr>
            <m:sty m:val="p"/>
          </m:rPr>
          <m:t>[</m:t>
        </m:r>
        <m:r>
          <m:t>0</m:t>
        </m:r>
        <m:r>
          <m:rPr>
            <m:sty m:val="p"/>
          </m:rPr>
          <m:t>,</m:t>
        </m:r>
        <m:r>
          <m:t>1</m:t>
        </m:r>
        <m:r>
          <m:rPr>
            <m:sty m:val="p"/>
          </m:rPr>
          <m:t>]</m:t>
        </m:r>
      </m:oMath>
      <w:r>
        <w:t xml:space="preserve"> </w:t>
      </w:r>
      <w:r>
        <w:t xml:space="preserve">because</w:t>
      </w:r>
      <w:r>
        <w:t xml:space="preserve"> </w:t>
      </w:r>
      <m:oMath>
        <m:sSubSup>
          <m:e>
            <m:r>
              <m:t>σ</m:t>
            </m:r>
          </m:e>
          <m:sub>
            <m:r>
              <m:t>u</m:t>
            </m:r>
          </m:sub>
          <m:sup>
            <m:r>
              <m:t>2</m:t>
            </m:r>
          </m:sup>
        </m:sSubSup>
        <m:r>
          <m:rPr>
            <m:sty m:val="p"/>
          </m:rPr>
          <m:t>−</m:t>
        </m:r>
        <m:r>
          <m:t>V</m:t>
        </m:r>
        <m:r>
          <m:rPr>
            <m:sty m:val="p"/>
          </m:rPr>
          <m:t>(</m:t>
        </m:r>
        <m:r>
          <m:t>n</m:t>
        </m:r>
        <m:r>
          <m:rPr>
            <m:sty m:val="p"/>
          </m:rPr>
          <m:t>)</m:t>
        </m:r>
        <m:r>
          <m:rPr>
            <m:sty m:val="p"/>
          </m:rPr>
          <m:t>≥</m:t>
        </m:r>
        <m:r>
          <m:t>0</m:t>
        </m:r>
      </m:oMath>
      <w:r>
        <w:t xml:space="preserve">.</w:t>
      </w:r>
    </w:p>
    <w:bookmarkEnd w:id="125"/>
    <w:bookmarkStart w:id="126" w:name="a.4-group-specific-functions-eqs.-1011"/>
    <w:p>
      <w:pPr>
        <w:pStyle w:val="Heading2"/>
      </w:pPr>
      <w:r>
        <w:t xml:space="preserve">A.4 Group-specific functions (Eqs. 10–11)</w:t>
      </w:r>
    </w:p>
    <w:p>
      <w:pPr>
        <w:pStyle w:val="FirstParagraph"/>
      </w:pPr>
      <w:r>
        <w:t xml:space="preserve">Replace</w:t>
      </w:r>
      <w:r>
        <w:t xml:space="preserve"> </w:t>
      </w:r>
      <m:oMath>
        <m:sSub>
          <m:e>
            <m:r>
              <m:t>u</m:t>
            </m:r>
          </m:e>
          <m:sub>
            <m:r>
              <m:t>i</m:t>
            </m:r>
          </m:sub>
        </m:sSub>
      </m:oMath>
      <w:r>
        <w:t xml:space="preserve"> </w:t>
      </w:r>
      <w:r>
        <w:t xml:space="preserve">by a group-specific function</w:t>
      </w:r>
      <w:r>
        <w:t xml:space="preserve"> </w:t>
      </w:r>
      <m:oMath>
        <m:sSub>
          <m:e>
            <m:r>
              <m:t>g</m:t>
            </m:r>
          </m:e>
          <m:sub>
            <m:r>
              <m:t>i</m:t>
            </m:r>
          </m:sub>
        </m:sSub>
        <m:r>
          <m:rPr>
            <m:sty m:val="p"/>
          </m:rPr>
          <m:t>(</m:t>
        </m:r>
        <m:r>
          <m:t>x</m:t>
        </m:r>
        <m:r>
          <m:rPr>
            <m:sty m:val="p"/>
          </m:rPr>
          <m:t>)</m:t>
        </m:r>
      </m:oMath>
      <w:r>
        <w:t xml:space="preserve"> </w:t>
      </w:r>
      <w:r>
        <w:t xml:space="preserve">with</w:t>
      </w:r>
      <w:r>
        <w:t xml:space="preserve"> </w:t>
      </w:r>
      <m:oMath>
        <m:r>
          <m:rPr>
            <m:scr m:val="double-struck"/>
            <m:sty m:val="p"/>
          </m:rPr>
          <m:t>E</m:t>
        </m:r>
        <m:r>
          <m:t> </m:t>
        </m:r>
        <m:sSub>
          <m:e>
            <m:r>
              <m:t>g</m:t>
            </m:r>
          </m:e>
          <m:sub>
            <m:r>
              <m:t>i</m:t>
            </m:r>
          </m:sub>
        </m:sSub>
        <m:r>
          <m:rPr>
            <m:sty m:val="p"/>
          </m:rPr>
          <m:t>(</m:t>
        </m:r>
        <m:r>
          <m:t>x</m:t>
        </m:r>
        <m:sSup>
          <m:e>
            <m:r>
              <m:rPr>
                <m:sty m:val="p"/>
              </m:rPr>
              <m:t>)</m:t>
            </m:r>
          </m:e>
          <m:sup>
            <m:r>
              <m:t>2</m:t>
            </m:r>
          </m:sup>
        </m:sSup>
        <m:r>
          <m:rPr>
            <m:sty m:val="p"/>
          </m:rPr>
          <m:t>=</m:t>
        </m:r>
        <m:sSubSup>
          <m:e>
            <m:r>
              <m:t>σ</m:t>
            </m:r>
          </m:e>
          <m:sub>
            <m:r>
              <m:t>G</m:t>
            </m:r>
          </m:sub>
          <m:sup>
            <m:r>
              <m:t>2</m:t>
            </m:r>
          </m:sup>
        </m:sSubSup>
      </m:oMath>
      <w:r>
        <w:t xml:space="preserve">. A learner that estimates</w:t>
      </w:r>
      <w:r>
        <w:t xml:space="preserve"> </w:t>
      </w:r>
      <m:oMath>
        <m:sSub>
          <m:e>
            <m:r>
              <m:t>g</m:t>
            </m:r>
          </m:e>
          <m:sub>
            <m:r>
              <m:t>i</m:t>
            </m:r>
          </m:sub>
        </m:sSub>
      </m:oMath>
      <w:r>
        <w:t xml:space="preserve"> </w:t>
      </w:r>
      <w:r>
        <w:t xml:space="preserve">from the training rows of the group has error</w:t>
      </w:r>
      <w:r>
        <w:t xml:space="preserve"> </w:t>
      </w:r>
      <m:oMath>
        <m:sSub>
          <m:e>
            <m:r>
              <m:t>V</m:t>
            </m:r>
          </m:e>
          <m:sub>
            <m:r>
              <m:t>G</m:t>
            </m:r>
          </m:sub>
        </m:sSub>
        <m:r>
          <m:rPr>
            <m:sty m:val="p"/>
          </m:rPr>
          <m:t>(</m:t>
        </m:r>
        <m:r>
          <m:t>n</m:t>
        </m:r>
        <m:r>
          <m:rPr>
            <m:sty m:val="p"/>
          </m:rPr>
          <m:t>)</m:t>
        </m:r>
        <m:r>
          <m:rPr>
            <m:sty m:val="p"/>
          </m:rPr>
          <m:t>=</m:t>
        </m:r>
        <m:r>
          <m:rPr>
            <m:scr m:val="double-struck"/>
            <m:sty m:val="p"/>
          </m:rPr>
          <m:t>E</m:t>
        </m:r>
        <m:r>
          <m:t> </m:t>
        </m:r>
        <m:r>
          <m:rPr>
            <m:sty m:val="p"/>
          </m:rPr>
          <m:t>(</m:t>
        </m:r>
        <m:sSub>
          <m:e>
            <m:r>
              <m:t>g</m:t>
            </m:r>
          </m:e>
          <m:sub>
            <m:r>
              <m:t>i</m:t>
            </m:r>
          </m:sub>
        </m:sSub>
        <m:r>
          <m:rPr>
            <m:sty m:val="p"/>
          </m:rPr>
          <m:t>−</m:t>
        </m:r>
        <m:sSub>
          <m:e>
            <m:acc>
              <m:accPr>
                <m:chr m:val="̂"/>
              </m:accPr>
              <m:e>
                <m:r>
                  <m:t>g</m:t>
                </m:r>
              </m:e>
            </m:acc>
          </m:e>
          <m:sub>
            <m:r>
              <m:t>i</m:t>
            </m:r>
          </m:sub>
        </m:sSub>
        <m:sSup>
          <m:e>
            <m:r>
              <m:rPr>
                <m:sty m:val="p"/>
              </m:rPr>
              <m:t>)</m:t>
            </m:r>
          </m:e>
          <m:sup>
            <m:r>
              <m:t>2</m:t>
            </m:r>
          </m:sup>
        </m:sSup>
        <m:r>
          <m:rPr>
            <m:sty m:val="p"/>
          </m:rPr>
          <m:t>∈</m:t>
        </m:r>
        <m:r>
          <m:rPr>
            <m:sty m:val="p"/>
          </m:rPr>
          <m:t>[</m:t>
        </m:r>
        <m:r>
          <m:t>0</m:t>
        </m:r>
        <m:r>
          <m:rPr>
            <m:sty m:val="p"/>
          </m:rPr>
          <m:t>,</m:t>
        </m:r>
        <m:sSubSup>
          <m:e>
            <m:r>
              <m:t>σ</m:t>
            </m:r>
          </m:e>
          <m:sub>
            <m:r>
              <m:t>G</m:t>
            </m:r>
          </m:sub>
          <m:sup>
            <m:r>
              <m:t>2</m:t>
            </m:r>
          </m:sup>
        </m:sSubSup>
        <m:r>
          <m:rPr>
            <m:sty m:val="p"/>
          </m:rPr>
          <m:t>]</m:t>
        </m:r>
      </m:oMath>
      <w:r>
        <w:t xml:space="preserve">. Then</w:t>
      </w:r>
      <w:r>
        <w:t xml:space="preserve"> </w:t>
      </w:r>
      <m:oMath>
        <m:sSub>
          <m:e>
            <m:r>
              <m:t>R</m:t>
            </m:r>
          </m:e>
          <m:sub>
            <m:r>
              <m:rPr>
                <m:sty m:val="p"/>
              </m:rPr>
              <m:t>r</m:t>
            </m:r>
            <m:r>
              <m:rPr>
                <m:sty m:val="p"/>
              </m:rPr>
              <m:t>a</m:t>
            </m:r>
            <m:r>
              <m:rPr>
                <m:sty m:val="p"/>
              </m:rPr>
              <m:t>n</m:t>
            </m:r>
            <m:r>
              <m:rPr>
                <m:sty m:val="p"/>
              </m:rPr>
              <m:t>d</m:t>
            </m:r>
          </m:sub>
        </m:sSub>
        <m:r>
          <m:rPr>
            <m:sty m:val="p"/>
          </m:rPr>
          <m:t>=</m:t>
        </m:r>
        <m:sSubSup>
          <m:e>
            <m:r>
              <m:t>σ</m:t>
            </m:r>
          </m:e>
          <m:sub>
            <m:r>
              <m:t>ε</m:t>
            </m:r>
          </m:sub>
          <m:sup>
            <m:r>
              <m:t>2</m:t>
            </m:r>
          </m:sup>
        </m:sSubSup>
        <m:r>
          <m:rPr>
            <m:sty m:val="p"/>
          </m:rPr>
          <m:t>+</m:t>
        </m:r>
        <m:sSub>
          <m:e>
            <m:r>
              <m:t>V</m:t>
            </m:r>
          </m:e>
          <m:sub>
            <m:r>
              <m:t>G</m:t>
            </m:r>
          </m:sub>
        </m:sSub>
        <m:r>
          <m:rPr>
            <m:sty m:val="p"/>
          </m:rPr>
          <m:t>(</m:t>
        </m:r>
        <m:r>
          <m:t>n</m:t>
        </m:r>
        <m:r>
          <m:rPr>
            <m:sty m:val="p"/>
          </m:rPr>
          <m:t>)</m:t>
        </m:r>
      </m:oMath>
      <w:r>
        <w:t xml:space="preserve"> </w:t>
      </w:r>
      <w:r>
        <w:t xml:space="preserve">and</w:t>
      </w:r>
      <w:r>
        <w:t xml:space="preserve"> </w:t>
      </w:r>
      <m:oMath>
        <m:sSub>
          <m:e>
            <m:r>
              <m:t>R</m:t>
            </m:r>
          </m:e>
          <m:sub>
            <m:r>
              <m:rPr>
                <m:sty m:val="p"/>
              </m:rPr>
              <m:t>g</m:t>
            </m:r>
            <m:r>
              <m:rPr>
                <m:sty m:val="p"/>
              </m:rPr>
              <m:t>r</m:t>
            </m:r>
            <m:r>
              <m:rPr>
                <m:sty m:val="p"/>
              </m:rPr>
              <m:t>p</m:t>
            </m:r>
          </m:sub>
        </m:sSub>
        <m:r>
          <m:rPr>
            <m:sty m:val="p"/>
          </m:rPr>
          <m:t>=</m:t>
        </m:r>
        <m:sSubSup>
          <m:e>
            <m:r>
              <m:t>σ</m:t>
            </m:r>
          </m:e>
          <m:sub>
            <m:r>
              <m:t>G</m:t>
            </m:r>
          </m:sub>
          <m:sup>
            <m:r>
              <m:t>2</m:t>
            </m:r>
          </m:sup>
        </m:sSubSup>
        <m:r>
          <m:rPr>
            <m:sty m:val="p"/>
          </m:rPr>
          <m:t>+</m:t>
        </m:r>
        <m:sSubSup>
          <m:e>
            <m:r>
              <m:t>σ</m:t>
            </m:r>
          </m:e>
          <m:sub>
            <m:r>
              <m:t>ε</m:t>
            </m:r>
          </m:sub>
          <m:sup>
            <m:r>
              <m:t>2</m:t>
            </m:r>
          </m:sup>
        </m:sSubSup>
      </m:oMath>
      <w:r>
        <w:t xml:space="preserve">, hence</w:t>
      </w:r>
    </w:p>
    <w:p>
      <w:pPr>
        <w:pStyle w:val="BodyText"/>
      </w:pPr>
      <m:oMathPara>
        <m:oMathParaPr>
          <m:jc m:val="center"/>
        </m:oMathParaPr>
        <m:oMath>
          <m:sSup>
            <m:e>
              <m:r>
                <m:t>ρ</m:t>
              </m:r>
            </m:e>
            <m:sup>
              <m:r>
                <m:t>2</m:t>
              </m:r>
            </m:sup>
          </m:sSup>
          <m:r>
            <m:rPr>
              <m:sty m:val="p"/>
            </m:rPr>
            <m:t>=</m:t>
          </m:r>
          <m:f>
            <m:fPr>
              <m:type m:val="bar"/>
            </m:fPr>
            <m:num>
              <m:sSubSup>
                <m:e>
                  <m:r>
                    <m:t>σ</m:t>
                  </m:r>
                </m:e>
                <m:sub>
                  <m:r>
                    <m:t>G</m:t>
                  </m:r>
                </m:sub>
                <m:sup>
                  <m:r>
                    <m:t>2</m:t>
                  </m:r>
                </m:sup>
              </m:sSubSup>
              <m:r>
                <m:rPr>
                  <m:sty m:val="p"/>
                </m:rPr>
                <m:t>+</m:t>
              </m:r>
              <m:sSubSup>
                <m:e>
                  <m:r>
                    <m:t>σ</m:t>
                  </m:r>
                </m:e>
                <m:sub>
                  <m:r>
                    <m:t>ε</m:t>
                  </m:r>
                </m:sub>
                <m:sup>
                  <m:r>
                    <m:t>2</m:t>
                  </m:r>
                </m:sup>
              </m:sSubSup>
            </m:num>
            <m:den>
              <m:sSub>
                <m:e>
                  <m:r>
                    <m:t>V</m:t>
                  </m:r>
                </m:e>
                <m:sub>
                  <m:r>
                    <m:t>G</m:t>
                  </m:r>
                </m:sub>
              </m:sSub>
              <m:r>
                <m:rPr>
                  <m:sty m:val="p"/>
                </m:rPr>
                <m:t>(</m:t>
              </m:r>
              <m:r>
                <m:t>n</m:t>
              </m:r>
              <m:r>
                <m:rPr>
                  <m:sty m:val="p"/>
                </m:rPr>
                <m:t>)</m:t>
              </m:r>
              <m:r>
                <m:rPr>
                  <m:sty m:val="p"/>
                </m:rPr>
                <m:t>+</m:t>
              </m:r>
              <m:sSubSup>
                <m:e>
                  <m:r>
                    <m:t>σ</m:t>
                  </m:r>
                </m:e>
                <m:sub>
                  <m:r>
                    <m:t>ε</m:t>
                  </m:r>
                </m:sub>
                <m:sup>
                  <m:r>
                    <m:t>2</m:t>
                  </m:r>
                </m:sup>
              </m:sSubSup>
            </m:den>
          </m:f>
          <m:r>
            <m:rPr>
              <m:sty m:val="p"/>
            </m:rPr>
            <m:t>≤</m:t>
          </m:r>
          <m:f>
            <m:fPr>
              <m:type m:val="bar"/>
            </m:fPr>
            <m:num>
              <m:sSubSup>
                <m:e>
                  <m:r>
                    <m:t>σ</m:t>
                  </m:r>
                </m:e>
                <m:sub>
                  <m:r>
                    <m:t>G</m:t>
                  </m:r>
                </m:sub>
                <m:sup>
                  <m:r>
                    <m:t>2</m:t>
                  </m:r>
                </m:sup>
              </m:sSubSup>
              <m:r>
                <m:rPr>
                  <m:sty m:val="p"/>
                </m:rPr>
                <m:t>+</m:t>
              </m:r>
              <m:sSubSup>
                <m:e>
                  <m:r>
                    <m:t>σ</m:t>
                  </m:r>
                </m:e>
                <m:sub>
                  <m:r>
                    <m:t>ε</m:t>
                  </m:r>
                </m:sub>
                <m:sup>
                  <m:r>
                    <m:t>2</m:t>
                  </m:r>
                </m:sup>
              </m:sSubSup>
            </m:num>
            <m:den>
              <m:sSubSup>
                <m:e>
                  <m:r>
                    <m:t>σ</m:t>
                  </m:r>
                </m:e>
                <m:sub>
                  <m:r>
                    <m:t>ε</m:t>
                  </m:r>
                </m:sub>
                <m:sup>
                  <m:r>
                    <m:t>2</m:t>
                  </m:r>
                </m:sup>
              </m:sSubSup>
            </m:den>
          </m:f>
          <m:r>
            <m:rPr>
              <m:sty m:val="p"/>
            </m:rPr>
            <m:t>=</m:t>
          </m:r>
          <m:f>
            <m:fPr>
              <m:type m:val="bar"/>
            </m:fPr>
            <m:num>
              <m:r>
                <m:t>1</m:t>
              </m:r>
            </m:num>
            <m:den>
              <m:r>
                <m:t>1</m:t>
              </m:r>
              <m:r>
                <m:rPr>
                  <m:sty m:val="p"/>
                </m:rPr>
                <m:t>−</m:t>
              </m:r>
              <m:sSub>
                <m:e>
                  <m:r>
                    <m:t>r</m:t>
                  </m:r>
                </m:e>
                <m:sub>
                  <m:r>
                    <m:t>G</m:t>
                  </m:r>
                </m:sub>
              </m:sSub>
            </m:den>
          </m:f>
          <m:r>
            <m:rPr>
              <m:sty m:val="p"/>
            </m:rPr>
            <m:t>.</m:t>
          </m:r>
          <m:r>
            <m:t>  </m:t>
          </m:r>
          <m:r>
            <m:t>  </m:t>
          </m:r>
          <m:r>
            <m:rPr>
              <m:sty m:val="p"/>
            </m:rPr>
            <m:t>(</m:t>
          </m:r>
          <m:r>
            <m:t>A</m:t>
          </m:r>
          <m:r>
            <m:t>4</m:t>
          </m:r>
          <m:r>
            <m:rPr>
              <m:sty m:val="p"/>
            </m:rPr>
            <m:t>)</m:t>
          </m:r>
        </m:oMath>
      </m:oMathPara>
    </w:p>
    <w:p>
      <w:pPr>
        <w:pStyle w:val="FirstParagraph"/>
      </w:pPr>
      <w:r>
        <w:t xml:space="preserve">If</w:t>
      </w:r>
      <w:r>
        <w:t xml:space="preserve"> </w:t>
      </w:r>
      <m:oMath>
        <m:sSubSup>
          <m:e>
            <m:r>
              <m:t>σ</m:t>
            </m:r>
          </m:e>
          <m:sub>
            <m:r>
              <m:t>ε</m:t>
            </m:r>
          </m:sub>
          <m:sup>
            <m:r>
              <m:t>2</m:t>
            </m:r>
          </m:sup>
        </m:sSubSup>
        <m:r>
          <m:rPr>
            <m:sty m:val="p"/>
          </m:rPr>
          <m:t>=</m:t>
        </m:r>
        <m:r>
          <m:t>0</m:t>
        </m:r>
      </m:oMath>
      <w:r>
        <w:t xml:space="preserve"> </w:t>
      </w:r>
      <w:r>
        <w:t xml:space="preserve">the bound is infinite. For the converse (Eq. 11), note that</w:t>
      </w:r>
      <w:r>
        <w:t xml:space="preserve"> </w:t>
      </w:r>
      <m:oMath>
        <m:sSubSup>
          <m:e>
            <m:r>
              <m:t>σ</m:t>
            </m:r>
          </m:e>
          <m:sub>
            <m:r>
              <m:t>ε</m:t>
            </m:r>
          </m:sub>
          <m:sup>
            <m:r>
              <m:t>2</m:t>
            </m:r>
          </m:sup>
        </m:sSubSup>
        <m:r>
          <m:rPr>
            <m:sty m:val="p"/>
          </m:rPr>
          <m:t>≤</m:t>
        </m:r>
        <m:sSub>
          <m:e>
            <m:r>
              <m:t>R</m:t>
            </m:r>
          </m:e>
          <m:sub>
            <m:r>
              <m:rPr>
                <m:sty m:val="p"/>
              </m:rPr>
              <m:t>r</m:t>
            </m:r>
            <m:r>
              <m:rPr>
                <m:sty m:val="p"/>
              </m:rPr>
              <m:t>a</m:t>
            </m:r>
            <m:r>
              <m:rPr>
                <m:sty m:val="p"/>
              </m:rPr>
              <m:t>n</m:t>
            </m:r>
            <m:r>
              <m:rPr>
                <m:sty m:val="p"/>
              </m:rPr>
              <m:t>d</m:t>
            </m:r>
          </m:sub>
        </m:sSub>
      </m:oMath>
      <w:r>
        <w:t xml:space="preserve"> </w:t>
      </w:r>
      <w:r>
        <w:t xml:space="preserve">for every learner, so</w:t>
      </w:r>
      <w:r>
        <w:t xml:space="preserve"> </w:t>
      </w:r>
      <m:oMath>
        <m:r>
          <m:t>1</m:t>
        </m:r>
        <m:r>
          <m:rPr>
            <m:sty m:val="p"/>
          </m:rPr>
          <m:t>−</m:t>
        </m:r>
        <m:sSub>
          <m:e>
            <m:r>
              <m:t>r</m:t>
            </m:r>
          </m:e>
          <m:sub>
            <m:r>
              <m:t>G</m:t>
            </m:r>
          </m:sub>
        </m:sSub>
        <m:r>
          <m:rPr>
            <m:sty m:val="p"/>
          </m:rPr>
          <m:t>=</m:t>
        </m:r>
        <m:sSubSup>
          <m:e>
            <m:r>
              <m:t>σ</m:t>
            </m:r>
          </m:e>
          <m:sub>
            <m:r>
              <m:t>ε</m:t>
            </m:r>
          </m:sub>
          <m:sup>
            <m:r>
              <m:t>2</m:t>
            </m:r>
          </m:sup>
        </m:sSubSup>
        <m:r>
          <m:rPr>
            <m:sty m:val="p"/>
          </m:rPr>
          <m:t>/</m:t>
        </m:r>
        <m:r>
          <m:rPr>
            <m:sty m:val="p"/>
          </m:rPr>
          <m:t>(</m:t>
        </m:r>
        <m:sSubSup>
          <m:e>
            <m:r>
              <m:t>σ</m:t>
            </m:r>
          </m:e>
          <m:sub>
            <m:r>
              <m:t>G</m:t>
            </m:r>
          </m:sub>
          <m:sup>
            <m:r>
              <m:t>2</m:t>
            </m:r>
          </m:sup>
        </m:sSubSup>
        <m:r>
          <m:rPr>
            <m:sty m:val="p"/>
          </m:rPr>
          <m:t>+</m:t>
        </m:r>
        <m:sSubSup>
          <m:e>
            <m:r>
              <m:t>σ</m:t>
            </m:r>
          </m:e>
          <m:sub>
            <m:r>
              <m:t>ε</m:t>
            </m:r>
          </m:sub>
          <m:sup>
            <m:r>
              <m:t>2</m:t>
            </m:r>
          </m:sup>
        </m:sSubSup>
        <m:r>
          <m:rPr>
            <m:sty m:val="p"/>
          </m:rPr>
          <m:t>)</m:t>
        </m:r>
        <m:r>
          <m:rPr>
            <m:sty m:val="p"/>
          </m:rPr>
          <m:t>≤</m:t>
        </m:r>
        <m:sSub>
          <m:e>
            <m:r>
              <m:t>R</m:t>
            </m:r>
          </m:e>
          <m:sub>
            <m:r>
              <m:rPr>
                <m:sty m:val="p"/>
              </m:rPr>
              <m:t>r</m:t>
            </m:r>
            <m:r>
              <m:rPr>
                <m:sty m:val="p"/>
              </m:rPr>
              <m:t>a</m:t>
            </m:r>
            <m:r>
              <m:rPr>
                <m:sty m:val="p"/>
              </m:rPr>
              <m:t>n</m:t>
            </m:r>
            <m:r>
              <m:rPr>
                <m:sty m:val="p"/>
              </m:rPr>
              <m:t>d</m:t>
            </m:r>
          </m:sub>
        </m:sSub>
        <m:r>
          <m:rPr>
            <m:sty m:val="p"/>
          </m:rPr>
          <m:t>/</m:t>
        </m:r>
        <m:sSub>
          <m:e>
            <m:r>
              <m:t>R</m:t>
            </m:r>
          </m:e>
          <m:sub>
            <m:r>
              <m:rPr>
                <m:sty m:val="p"/>
              </m:rPr>
              <m:t>g</m:t>
            </m:r>
            <m:r>
              <m:rPr>
                <m:sty m:val="p"/>
              </m:rPr>
              <m:t>r</m:t>
            </m:r>
            <m:r>
              <m:rPr>
                <m:sty m:val="p"/>
              </m:rPr>
              <m:t>p</m:t>
            </m:r>
          </m:sub>
        </m:sSub>
        <m:r>
          <m:rPr>
            <m:sty m:val="p"/>
          </m:rPr>
          <m:t>=</m:t>
        </m:r>
        <m:r>
          <m:t>1</m:t>
        </m:r>
        <m:r>
          <m:rPr>
            <m:sty m:val="p"/>
          </m:rPr>
          <m:t>/</m:t>
        </m:r>
        <m:sSup>
          <m:e>
            <m:r>
              <m:t>ρ</m:t>
            </m:r>
          </m:e>
          <m:sup>
            <m:r>
              <m:t>2</m:t>
            </m:r>
          </m:sup>
        </m:sSup>
      </m:oMath>
      <w:r>
        <w:t xml:space="preserve"> </w:t>
      </w:r>
      <w:r>
        <w:t xml:space="preserve">when</w:t>
      </w:r>
      <w:r>
        <w:t xml:space="preserve"> </w:t>
      </w:r>
      <m:oMath>
        <m:sSub>
          <m:e>
            <m:r>
              <m:t>R</m:t>
            </m:r>
          </m:e>
          <m:sub>
            <m:r>
              <m:rPr>
                <m:sty m:val="p"/>
              </m:rPr>
              <m:t>g</m:t>
            </m:r>
            <m:r>
              <m:rPr>
                <m:sty m:val="p"/>
              </m:rPr>
              <m:t>r</m:t>
            </m:r>
            <m:r>
              <m:rPr>
                <m:sty m:val="p"/>
              </m:rPr>
              <m:t>p</m:t>
            </m:r>
          </m:sub>
        </m:sSub>
        <m:r>
          <m:rPr>
            <m:sty m:val="p"/>
          </m:rPr>
          <m:t>=</m:t>
        </m:r>
        <m:sSubSup>
          <m:e>
            <m:r>
              <m:t>σ</m:t>
            </m:r>
          </m:e>
          <m:sub>
            <m:r>
              <m:t>G</m:t>
            </m:r>
          </m:sub>
          <m:sup>
            <m:r>
              <m:t>2</m:t>
            </m:r>
          </m:sup>
        </m:sSubSup>
        <m:r>
          <m:rPr>
            <m:sty m:val="p"/>
          </m:rPr>
          <m:t>+</m:t>
        </m:r>
        <m:sSubSup>
          <m:e>
            <m:r>
              <m:t>σ</m:t>
            </m:r>
          </m:e>
          <m:sub>
            <m:r>
              <m:t>ε</m:t>
            </m:r>
          </m:sub>
          <m:sup>
            <m:r>
              <m:t>2</m:t>
            </m:r>
          </m:sup>
        </m:sSubSup>
      </m:oMath>
      <w:r>
        <w:t xml:space="preserve">, i.e. </w:t>
      </w:r>
      <m:oMath>
        <m:sSub>
          <m:e>
            <m:r>
              <m:t>r</m:t>
            </m:r>
          </m:e>
          <m:sub>
            <m:r>
              <m:t>G</m:t>
            </m:r>
          </m:sub>
        </m:sSub>
        <m:r>
          <m:rPr>
            <m:sty m:val="p"/>
          </m:rPr>
          <m:t>≥</m:t>
        </m:r>
        <m:r>
          <m:t>1</m:t>
        </m:r>
        <m:r>
          <m:rPr>
            <m:sty m:val="p"/>
          </m:rPr>
          <m:t>−</m:t>
        </m:r>
        <m:r>
          <m:t>1</m:t>
        </m:r>
        <m:r>
          <m:rPr>
            <m:sty m:val="p"/>
          </m:rPr>
          <m:t>/</m:t>
        </m:r>
        <m:sSup>
          <m:e>
            <m:r>
              <m:t>ρ</m:t>
            </m:r>
          </m:e>
          <m:sup>
            <m:r>
              <m:t>2</m:t>
            </m:r>
          </m:sup>
        </m:sSup>
      </m:oMath>
      <w:r>
        <w:t xml:space="preserve">. For</w:t>
      </w:r>
      <w:r>
        <w:t xml:space="preserve"> </w:t>
      </w:r>
      <m:oMath>
        <m:r>
          <m:t>ρ</m:t>
        </m:r>
        <m:r>
          <m:rPr>
            <m:sty m:val="p"/>
          </m:rPr>
          <m:t>=</m:t>
        </m:r>
        <m:r>
          <m:t>9.5</m:t>
        </m:r>
      </m:oMath>
      <w:r>
        <w:t xml:space="preserve">, as observed for gradient boosting on ENB2012 heating load,</w:t>
      </w:r>
      <w:r>
        <w:t xml:space="preserve"> </w:t>
      </w:r>
      <m:oMath>
        <m:sSub>
          <m:e>
            <m:r>
              <m:t>r</m:t>
            </m:r>
          </m:e>
          <m:sub>
            <m:r>
              <m:t>G</m:t>
            </m:r>
          </m:sub>
        </m:sSub>
        <m:r>
          <m:rPr>
            <m:sty m:val="p"/>
          </m:rPr>
          <m:t>≥</m:t>
        </m:r>
        <m:r>
          <m:t>0.989</m:t>
        </m:r>
      </m:oMath>
      <w:r>
        <w:t xml:space="preserve">.</w:t>
      </w:r>
    </w:p>
    <w:bookmarkEnd w:id="126"/>
    <w:bookmarkStart w:id="127" w:name="a.5-leakage-fraction-eq.-12"/>
    <w:p>
      <w:pPr>
        <w:pStyle w:val="Heading2"/>
      </w:pPr>
      <w:r>
        <w:t xml:space="preserve">A.5 Leakage fraction (Eq. 12)</w:t>
      </w:r>
    </w:p>
    <w:p>
      <w:pPr>
        <w:pStyle w:val="FirstParagraph"/>
      </w:pPr>
      <w:r>
        <w:t xml:space="preserve">In random</w:t>
      </w:r>
      <w:r>
        <w:t xml:space="preserve"> </w:t>
      </w:r>
      <m:oMath>
        <m:r>
          <m:t>K</m:t>
        </m:r>
      </m:oMath>
      <w:r>
        <w:t xml:space="preserve">-fold cross-validation with equal-sized folds, the other</w:t>
      </w:r>
      <w:r>
        <w:t xml:space="preserve"> </w:t>
      </w:r>
      <m:oMath>
        <m:r>
          <m:t>m</m:t>
        </m:r>
        <m:r>
          <m:rPr>
            <m:sty m:val="p"/>
          </m:rPr>
          <m:t>−</m:t>
        </m:r>
        <m:r>
          <m:t>1</m:t>
        </m:r>
      </m:oMath>
      <w:r>
        <w:t xml:space="preserve"> </w:t>
      </w:r>
      <w:r>
        <w:t xml:space="preserve">rows of a group of size</w:t>
      </w:r>
      <w:r>
        <w:t xml:space="preserve"> </w:t>
      </w:r>
      <m:oMath>
        <m:r>
          <m:t>m</m:t>
        </m:r>
      </m:oMath>
      <w:r>
        <w:t xml:space="preserve"> </w:t>
      </w:r>
      <w:r>
        <w:t xml:space="preserve">are all in the test fold of a given row with probability</w:t>
      </w:r>
      <w:r>
        <w:t xml:space="preserve"> </w:t>
      </w:r>
      <m:oMath>
        <m:nary>
          <m:naryPr>
            <m:chr m:val="∏"/>
            <m:limLoc m:val="undOvr"/>
            <m:subHide m:val="off"/>
            <m:supHide m:val="off"/>
          </m:naryPr>
          <m:sub>
            <m:r>
              <m:t>j</m:t>
            </m:r>
            <m:r>
              <m:rPr>
                <m:sty m:val="p"/>
              </m:rPr>
              <m:t>=</m:t>
            </m:r>
            <m:r>
              <m:t>1</m:t>
            </m:r>
          </m:sub>
          <m:sup>
            <m:r>
              <m:t>m</m:t>
            </m:r>
            <m:r>
              <m:rPr>
                <m:sty m:val="p"/>
              </m:rPr>
              <m:t>−</m:t>
            </m:r>
            <m:r>
              <m:t>1</m:t>
            </m:r>
          </m:sup>
          <m:e>
            <m:f>
              <m:fPr>
                <m:type m:val="bar"/>
              </m:fPr>
              <m:num>
                <m:sSub>
                  <m:e>
                    <m:r>
                      <m:t>n</m:t>
                    </m:r>
                  </m:e>
                  <m:sub>
                    <m:r>
                      <m:t>f</m:t>
                    </m:r>
                  </m:sub>
                </m:sSub>
                <m:r>
                  <m:rPr>
                    <m:sty m:val="p"/>
                  </m:rPr>
                  <m:t>−</m:t>
                </m:r>
                <m:r>
                  <m:t>j</m:t>
                </m:r>
              </m:num>
              <m:den>
                <m:r>
                  <m:t>N</m:t>
                </m:r>
                <m:r>
                  <m:rPr>
                    <m:sty m:val="p"/>
                  </m:rPr>
                  <m:t>−</m:t>
                </m:r>
                <m:r>
                  <m:t>j</m:t>
                </m:r>
              </m:den>
            </m:f>
          </m:e>
        </m:nary>
      </m:oMath>
      <w:r>
        <w:t xml:space="preserve">, where</w:t>
      </w:r>
      <w:r>
        <w:t xml:space="preserve"> </w:t>
      </w:r>
      <m:oMath>
        <m:sSub>
          <m:e>
            <m:r>
              <m:t>n</m:t>
            </m:r>
          </m:e>
          <m:sub>
            <m:r>
              <m:t>f</m:t>
            </m:r>
          </m:sub>
        </m:sSub>
        <m:r>
          <m:rPr>
            <m:sty m:val="p"/>
          </m:rPr>
          <m:t>=</m:t>
        </m:r>
        <m:r>
          <m:t>N</m:t>
        </m:r>
        <m:r>
          <m:rPr>
            <m:sty m:val="p"/>
          </m:rPr>
          <m:t>/</m:t>
        </m:r>
        <m:r>
          <m:t>K</m:t>
        </m:r>
      </m:oMath>
      <w:r>
        <w:t xml:space="preserve"> </w:t>
      </w:r>
      <w:r>
        <w:t xml:space="preserve">is the fold size; for</w:t>
      </w:r>
      <w:r>
        <w:t xml:space="preserve"> </w:t>
      </w:r>
      <m:oMath>
        <m:r>
          <m:t>N</m:t>
        </m:r>
      </m:oMath>
      <w:r>
        <w:t xml:space="preserve"> </w:t>
      </w:r>
      <w:r>
        <w:t xml:space="preserve">much larger than</w:t>
      </w:r>
      <w:r>
        <w:t xml:space="preserve"> </w:t>
      </w:r>
      <m:oMath>
        <m:r>
          <m:t>m</m:t>
        </m:r>
      </m:oMath>
      <w:r>
        <w:t xml:space="preserve"> </w:t>
      </w:r>
      <w:r>
        <w:t xml:space="preserve">this is</w:t>
      </w:r>
      <w:r>
        <w:t xml:space="preserve"> </w:t>
      </w:r>
      <m:oMath>
        <m:sSup>
          <m:e>
            <m:r>
              <m:t>K</m:t>
            </m:r>
          </m:e>
          <m:sup>
            <m:r>
              <m:rPr>
                <m:sty m:val="p"/>
              </m:rPr>
              <m:t>−</m:t>
            </m:r>
            <m:r>
              <m:rPr>
                <m:sty m:val="p"/>
              </m:rPr>
              <m:t>(</m:t>
            </m:r>
            <m:r>
              <m:t>m</m:t>
            </m:r>
            <m:r>
              <m:rPr>
                <m:sty m:val="p"/>
              </m:rPr>
              <m:t>−</m:t>
            </m:r>
            <m:r>
              <m:t>1</m:t>
            </m:r>
            <m:r>
              <m:rPr>
                <m:sty m:val="p"/>
              </m:rPr>
              <m:t>)</m:t>
            </m:r>
          </m:sup>
        </m:sSup>
      </m:oMath>
      <w:r>
        <w:t xml:space="preserve">. A row has at least one training group-mate with the complementary probability. Summing over rows gives Eq. (12). For singleton groups (</w:t>
      </w:r>
      <m:oMath>
        <m:r>
          <m:t>m</m:t>
        </m:r>
        <m:r>
          <m:rPr>
            <m:sty m:val="p"/>
          </m:rPr>
          <m:t>=</m:t>
        </m:r>
        <m:r>
          <m:t>1</m:t>
        </m:r>
      </m:oMath>
      <w:r>
        <w:t xml:space="preserve">) the probability is zero and no leakage is possible.</w:t>
      </w:r>
    </w:p>
    <w:bookmarkEnd w:id="127"/>
    <w:bookmarkStart w:id="128" w:name="Xfbd938da81c99a01df6728fcf46bd11356350f0"/>
    <w:p>
      <w:pPr>
        <w:pStyle w:val="Heading2"/>
      </w:pPr>
      <w:r>
        <w:t xml:space="preserve">A.6 Tuning with</w:t>
      </w:r>
      <w:r>
        <w:t xml:space="preserve"> </w:t>
      </w:r>
      <m:oMath>
        <m:r>
          <m:t>k</m:t>
        </m:r>
      </m:oMath>
      <w:r>
        <w:t xml:space="preserve">-nearest neighbours (Section 3.5)</w:t>
      </w:r>
    </w:p>
    <w:p>
      <w:pPr>
        <w:pStyle w:val="FirstParagraph"/>
      </w:pPr>
      <w:r>
        <w:t xml:space="preserve">Assume features that identify groups, Eq. (1) with a locally constant</w:t>
      </w:r>
      <w:r>
        <w:t xml:space="preserve"> </w:t>
      </w:r>
      <m:oMath>
        <m:r>
          <m:t>f</m:t>
        </m:r>
      </m:oMath>
      <w:r>
        <w:t xml:space="preserve"> </w:t>
      </w:r>
      <w:r>
        <w:t xml:space="preserve">within a group, and</w:t>
      </w:r>
      <w:r>
        <w:t xml:space="preserve"> </w:t>
      </w:r>
      <m:oMath>
        <m:r>
          <m:t>k</m:t>
        </m:r>
      </m:oMath>
      <w:r>
        <w:t xml:space="preserve"> </w:t>
      </w:r>
      <w:r>
        <w:t xml:space="preserve">not larger than the number of training rows in a group. With random inner folds, the</w:t>
      </w:r>
      <w:r>
        <w:t xml:space="preserve"> </w:t>
      </w:r>
      <m:oMath>
        <m:r>
          <m:t>k</m:t>
        </m:r>
      </m:oMath>
      <w:r>
        <w:t xml:space="preserve"> </w:t>
      </w:r>
      <w:r>
        <w:t xml:space="preserve">nearest neighbours of a validation row are training rows of the same group, so the prediction is</w:t>
      </w:r>
      <w:r>
        <w:t xml:space="preserve"> </w:t>
      </w:r>
      <m:oMath>
        <m:acc>
          <m:accPr>
            <m:chr m:val="̂"/>
          </m:accPr>
          <m:e>
            <m:r>
              <m:t>y</m:t>
            </m:r>
          </m:e>
        </m:acc>
        <m:r>
          <m:rPr>
            <m:sty m:val="p"/>
          </m:rPr>
          <m:t>=</m:t>
        </m:r>
        <m:r>
          <m:t>f</m:t>
        </m:r>
        <m:r>
          <m:rPr>
            <m:sty m:val="p"/>
          </m:rPr>
          <m:t>+</m:t>
        </m:r>
        <m:sSub>
          <m:e>
            <m:r>
              <m:t>u</m:t>
            </m:r>
          </m:e>
          <m:sub>
            <m:r>
              <m:t>i</m:t>
            </m:r>
          </m:sub>
        </m:sSub>
        <m:r>
          <m:rPr>
            <m:sty m:val="p"/>
          </m:rPr>
          <m:t>+</m:t>
        </m:r>
        <m:sSub>
          <m:e>
            <m:acc>
              <m:accPr>
                <m:chr m:val="‾"/>
              </m:accPr>
              <m:e>
                <m:r>
                  <m:t>ε</m:t>
                </m:r>
              </m:e>
            </m:acc>
          </m:e>
          <m:sub>
            <m:r>
              <m:t>k</m:t>
            </m:r>
          </m:sub>
        </m:sSub>
      </m:oMath>
      <w:r>
        <w:t xml:space="preserve"> </w:t>
      </w:r>
      <w:r>
        <w:t xml:space="preserve">and the error is</w:t>
      </w:r>
      <w:r>
        <w:t xml:space="preserve"> </w:t>
      </w:r>
      <m:oMath>
        <m:r>
          <m:t>ε</m:t>
        </m:r>
        <m:r>
          <m:rPr>
            <m:sty m:val="p"/>
          </m:rPr>
          <m:t>−</m:t>
        </m:r>
        <m:sSub>
          <m:e>
            <m:acc>
              <m:accPr>
                <m:chr m:val="‾"/>
              </m:accPr>
              <m:e>
                <m:r>
                  <m:t>ε</m:t>
                </m:r>
              </m:e>
            </m:acc>
          </m:e>
          <m:sub>
            <m:r>
              <m:t>k</m:t>
            </m:r>
          </m:sub>
        </m:sSub>
      </m:oMath>
      <w:r>
        <w:t xml:space="preserve"> </w:t>
      </w:r>
      <w:r>
        <w:t xml:space="preserve">plus bias, with variance</w:t>
      </w:r>
      <w:r>
        <w:t xml:space="preserve"> </w:t>
      </w:r>
      <m:oMath>
        <m:sSubSup>
          <m:e>
            <m:r>
              <m:t>σ</m:t>
            </m:r>
          </m:e>
          <m:sub>
            <m:r>
              <m:t>ε</m:t>
            </m:r>
          </m:sub>
          <m:sup>
            <m:r>
              <m:t>2</m:t>
            </m:r>
          </m:sup>
        </m:sSubSup>
        <m:r>
          <m:rPr>
            <m:sty m:val="p"/>
          </m:rPr>
          <m:t>(</m:t>
        </m:r>
        <m:r>
          <m:t>1</m:t>
        </m:r>
        <m:r>
          <m:rPr>
            <m:sty m:val="p"/>
          </m:rPr>
          <m:t>+</m:t>
        </m:r>
        <m:r>
          <m:t>1</m:t>
        </m:r>
        <m:r>
          <m:rPr>
            <m:sty m:val="p"/>
          </m:rPr>
          <m:t>/</m:t>
        </m:r>
        <m:r>
          <m:t>k</m:t>
        </m:r>
        <m:r>
          <m:rPr>
            <m:sty m:val="p"/>
          </m:rPr>
          <m:t>)</m:t>
        </m:r>
      </m:oMath>
      <w:r>
        <w:t xml:space="preserve">, decreasing in</w:t>
      </w:r>
      <w:r>
        <w:t xml:space="preserve"> </w:t>
      </w:r>
      <m:oMath>
        <m:r>
          <m:t>k</m:t>
        </m:r>
      </m:oMath>
      <w:r>
        <w:t xml:space="preserve"> </w:t>
      </w:r>
      <w:r>
        <w:t xml:space="preserve">until the bias from within-group variation of</w:t>
      </w:r>
      <w:r>
        <w:t xml:space="preserve"> </w:t>
      </w:r>
      <m:oMath>
        <m:r>
          <m:t>f</m:t>
        </m:r>
      </m:oMath>
      <w:r>
        <w:t xml:space="preserve"> </w:t>
      </w:r>
      <w:r>
        <w:t xml:space="preserve">becomes significant; the minimising</w:t>
      </w:r>
      <w:r>
        <w:t xml:space="preserve"> </w:t>
      </w:r>
      <m:oMath>
        <m:r>
          <m:t>k</m:t>
        </m:r>
      </m:oMath>
      <w:r>
        <w:t xml:space="preserve"> </w:t>
      </w:r>
      <w:r>
        <w:t xml:space="preserve">is large relative to one but at most the group’s training size. With group-pure inner folds, the neighbours belong to other groups</w:t>
      </w:r>
      <w:r>
        <w:t xml:space="preserve"> </w:t>
      </w:r>
      <m:oMath>
        <m:sSub>
          <m:e>
            <m:r>
              <m:t>j</m:t>
            </m:r>
          </m:e>
          <m:sub>
            <m:r>
              <m:t>1</m:t>
            </m:r>
          </m:sub>
        </m:sSub>
        <m:r>
          <m:rPr>
            <m:sty m:val="p"/>
          </m:rPr>
          <m:t>,</m:t>
        </m:r>
        <m:r>
          <m:rPr>
            <m:sty m:val="p"/>
          </m:rPr>
          <m:t>…</m:t>
        </m:r>
        <m:r>
          <m:rPr>
            <m:sty m:val="p"/>
          </m:rPr>
          <m:t>,</m:t>
        </m:r>
        <m:sSub>
          <m:e>
            <m:r>
              <m:t>j</m:t>
            </m:r>
          </m:e>
          <m:sub>
            <m:sSub>
              <m:e>
                <m:r>
                  <m:t>k</m:t>
                </m:r>
              </m:e>
              <m:sub>
                <m:r>
                  <m:t>g</m:t>
                </m:r>
              </m:sub>
            </m:sSub>
          </m:sub>
        </m:sSub>
      </m:oMath>
      <w:r>
        <w:t xml:space="preserve">, so the error is</w:t>
      </w:r>
      <w:r>
        <w:t xml:space="preserve"> </w:t>
      </w:r>
      <m:oMath>
        <m:r>
          <m:rPr>
            <m:sty m:val="p"/>
          </m:rPr>
          <m:t>(</m:t>
        </m:r>
        <m:sSub>
          <m:e>
            <m:r>
              <m:t>u</m:t>
            </m:r>
          </m:e>
          <m:sub>
            <m:r>
              <m:t>i</m:t>
            </m:r>
          </m:sub>
        </m:sSub>
        <m:r>
          <m:rPr>
            <m:sty m:val="p"/>
          </m:rPr>
          <m:t>−</m:t>
        </m:r>
        <m:sSub>
          <m:e>
            <m:acc>
              <m:accPr>
                <m:chr m:val="‾"/>
              </m:accPr>
              <m:e>
                <m:r>
                  <m:t>u</m:t>
                </m:r>
              </m:e>
            </m:acc>
          </m:e>
          <m:sub>
            <m:r>
              <m:t>n</m:t>
            </m:r>
            <m:r>
              <m:t>b</m:t>
            </m:r>
          </m:sub>
        </m:sSub>
        <m:r>
          <m:rPr>
            <m:sty m:val="p"/>
          </m:rPr>
          <m:t>)</m:t>
        </m:r>
        <m:r>
          <m:rPr>
            <m:sty m:val="p"/>
          </m:rPr>
          <m:t>+</m:t>
        </m:r>
        <m:r>
          <m:t>ε</m:t>
        </m:r>
        <m:r>
          <m:rPr>
            <m:sty m:val="p"/>
          </m:rPr>
          <m:t>−</m:t>
        </m:r>
        <m:sSub>
          <m:e>
            <m:acc>
              <m:accPr>
                <m:chr m:val="‾"/>
              </m:accPr>
              <m:e>
                <m:r>
                  <m:t>ε</m:t>
                </m:r>
              </m:e>
            </m:acc>
          </m:e>
          <m:sub>
            <m:r>
              <m:t>k</m:t>
            </m:r>
          </m:sub>
        </m:sSub>
      </m:oMath>
      <w:r>
        <w:t xml:space="preserve"> </w:t>
      </w:r>
      <w:r>
        <w:t xml:space="preserve">plus the bias from the difference of</w:t>
      </w:r>
      <w:r>
        <w:t xml:space="preserve"> </w:t>
      </w:r>
      <m:oMath>
        <m:r>
          <m:t>f</m:t>
        </m:r>
      </m:oMath>
      <w:r>
        <w:t xml:space="preserve"> </w:t>
      </w:r>
      <w:r>
        <w:t xml:space="preserve">between groups; its variance is</w:t>
      </w:r>
      <w:r>
        <w:t xml:space="preserve"> </w:t>
      </w:r>
      <m:oMath>
        <m:sSubSup>
          <m:e>
            <m:r>
              <m:t>σ</m:t>
            </m:r>
          </m:e>
          <m:sub>
            <m:r>
              <m:t>u</m:t>
            </m:r>
          </m:sub>
          <m:sup>
            <m:r>
              <m:t>2</m:t>
            </m:r>
          </m:sup>
        </m:sSubSup>
        <m:r>
          <m:rPr>
            <m:sty m:val="p"/>
          </m:rPr>
          <m:t>(</m:t>
        </m:r>
        <m:r>
          <m:t>1</m:t>
        </m:r>
        <m:r>
          <m:rPr>
            <m:sty m:val="p"/>
          </m:rPr>
          <m:t>+</m:t>
        </m:r>
        <m:r>
          <m:t>1</m:t>
        </m:r>
        <m:r>
          <m:rPr>
            <m:sty m:val="p"/>
          </m:rPr>
          <m:t>/</m:t>
        </m:r>
        <m:sSub>
          <m:e>
            <m:r>
              <m:t>k</m:t>
            </m:r>
          </m:e>
          <m:sub>
            <m:r>
              <m:t>g</m:t>
            </m:r>
          </m:sub>
        </m:sSub>
        <m:r>
          <m:rPr>
            <m:sty m:val="p"/>
          </m:rPr>
          <m:t>)</m:t>
        </m:r>
        <m:r>
          <m:rPr>
            <m:sty m:val="p"/>
          </m:rPr>
          <m:t>+</m:t>
        </m:r>
        <m:sSubSup>
          <m:e>
            <m:r>
              <m:t>σ</m:t>
            </m:r>
          </m:e>
          <m:sub>
            <m:r>
              <m:t>ε</m:t>
            </m:r>
          </m:sub>
          <m:sup>
            <m:r>
              <m:t>2</m:t>
            </m:r>
          </m:sup>
        </m:sSubSup>
        <m:r>
          <m:rPr>
            <m:sty m:val="p"/>
          </m:rPr>
          <m:t>(</m:t>
        </m:r>
        <m:r>
          <m:t>1</m:t>
        </m:r>
        <m:r>
          <m:rPr>
            <m:sty m:val="p"/>
          </m:rPr>
          <m:t>+</m:t>
        </m:r>
        <m:r>
          <m:t>1</m:t>
        </m:r>
        <m:r>
          <m:rPr>
            <m:sty m:val="p"/>
          </m:rPr>
          <m:t>/</m:t>
        </m:r>
        <m:r>
          <m:t>k</m:t>
        </m:r>
        <m:r>
          <m:rPr>
            <m:sty m:val="p"/>
          </m:rPr>
          <m:t>)</m:t>
        </m:r>
      </m:oMath>
      <w:r>
        <w:t xml:space="preserve">, which decreases until the bias from averaging over distant groups dominates. The scales of the two trade-offs differ (within-group spread of</w:t>
      </w:r>
      <w:r>
        <w:t xml:space="preserve"> </w:t>
      </w:r>
      <m:oMath>
        <m:r>
          <m:t>f</m:t>
        </m:r>
      </m:oMath>
      <w:r>
        <w:t xml:space="preserve"> </w:t>
      </w:r>
      <w:r>
        <w:t xml:space="preserve">versus between-group spacing), so the minimisers differ, and the group-pure criterion selects the value that is optimal for new groups. For a radial-basis kernel the same argument associates random inner folds with a small bandwidth.</w:t>
      </w:r>
    </w:p>
    <w:bookmarkEnd w:id="128"/>
    <w:bookmarkStart w:id="129" w:name="a.7-design-effect-eq.-14"/>
    <w:p>
      <w:pPr>
        <w:pStyle w:val="Heading2"/>
      </w:pPr>
      <w:r>
        <w:t xml:space="preserve">A.7 Design effect (Eq. 14)</w:t>
      </w:r>
    </w:p>
    <w:p>
      <w:pPr>
        <w:pStyle w:val="FirstParagraph"/>
      </w:pPr>
      <w:r>
        <w:t xml:space="preserve">For</w:t>
      </w:r>
      <w:r>
        <w:t xml:space="preserve"> </w:t>
      </w:r>
      <m:oMath>
        <m:r>
          <m:t>G</m:t>
        </m:r>
      </m:oMath>
      <w:r>
        <w:t xml:space="preserve"> </w:t>
      </w:r>
      <w:r>
        <w:t xml:space="preserve">groups of size</w:t>
      </w:r>
      <w:r>
        <w:t xml:space="preserve"> </w:t>
      </w:r>
      <m:oMath>
        <m:acc>
          <m:accPr>
            <m:chr m:val="‾"/>
          </m:accPr>
          <m:e>
            <m:r>
              <m:t>m</m:t>
            </m:r>
          </m:e>
        </m:acc>
      </m:oMath>
      <w:r>
        <w:t xml:space="preserve"> </w:t>
      </w:r>
      <w:r>
        <w:t xml:space="preserve">with intraclass correlation</w:t>
      </w:r>
      <w:r>
        <w:t xml:space="preserve"> </w:t>
      </w:r>
      <m:oMath>
        <m:r>
          <m:t>𝜚</m:t>
        </m:r>
      </m:oMath>
      <w:r>
        <w:t xml:space="preserve"> </w:t>
      </w:r>
      <w:r>
        <w:t xml:space="preserve">of the loss</w:t>
      </w:r>
      <w:r>
        <w:t xml:space="preserve"> </w:t>
      </w:r>
      <m:oMath>
        <m:r>
          <m:t>ℓ</m:t>
        </m:r>
      </m:oMath>
      <w:r>
        <w:t xml:space="preserve">, the variance of the overall mean is</w:t>
      </w:r>
      <w:r>
        <w:t xml:space="preserve"> </w:t>
      </w:r>
      <m:oMath>
        <m:r>
          <m:rPr>
            <m:sty m:val="p"/>
          </m:rPr>
          <m:t>Var</m:t>
        </m:r>
        <m:r>
          <m:rPr>
            <m:sty m:val="p"/>
          </m:rPr>
          <m:t>(</m:t>
        </m:r>
        <m:acc>
          <m:accPr>
            <m:chr m:val="‾"/>
          </m:accPr>
          <m:e>
            <m:r>
              <m:t>ℓ</m:t>
            </m:r>
          </m:e>
        </m:acc>
        <m:r>
          <m:rPr>
            <m:sty m:val="p"/>
          </m:rPr>
          <m:t>)</m:t>
        </m:r>
        <m:r>
          <m:rPr>
            <m:sty m:val="p"/>
          </m:rPr>
          <m:t>=</m:t>
        </m:r>
        <m:f>
          <m:fPr>
            <m:type m:val="bar"/>
          </m:fPr>
          <m:num>
            <m:r>
              <m:rPr>
                <m:sty m:val="p"/>
              </m:rPr>
              <m:t>Var</m:t>
            </m:r>
            <m:r>
              <m:rPr>
                <m:sty m:val="p"/>
              </m:rPr>
              <m:t>(</m:t>
            </m:r>
            <m:r>
              <m:t>ℓ</m:t>
            </m:r>
            <m:r>
              <m:rPr>
                <m:sty m:val="p"/>
              </m:rPr>
              <m:t>)</m:t>
            </m:r>
          </m:num>
          <m:den>
            <m:r>
              <m:t>N</m:t>
            </m:r>
          </m:den>
        </m:f>
        <m:d>
          <m:dPr>
            <m:begChr m:val="["/>
            <m:sepChr m:val=""/>
            <m:endChr m:val="]"/>
            <m:grow/>
          </m:dPr>
          <m:e>
            <m:r>
              <m:t>1</m:t>
            </m:r>
            <m:r>
              <m:rPr>
                <m:sty m:val="p"/>
              </m:rPr>
              <m:t>+</m:t>
            </m:r>
            <m:r>
              <m:rPr>
                <m:sty m:val="p"/>
              </m:rPr>
              <m:t>(</m:t>
            </m:r>
            <m:acc>
              <m:accPr>
                <m:chr m:val="‾"/>
              </m:accPr>
              <m:e>
                <m:r>
                  <m:t>m</m:t>
                </m:r>
              </m:e>
            </m:acc>
            <m:r>
              <m:rPr>
                <m:sty m:val="p"/>
              </m:rPr>
              <m:t>−</m:t>
            </m:r>
            <m:r>
              <m:t>1</m:t>
            </m:r>
            <m:r>
              <m:rPr>
                <m:sty m:val="p"/>
              </m:rPr>
              <m:t>)</m:t>
            </m:r>
            <m:r>
              <m:t>𝜚</m:t>
            </m:r>
          </m:e>
        </m:d>
      </m:oMath>
      <w:r>
        <w:t xml:space="preserve">. The factor in brackets is the design effect, and the effective sample size is</w:t>
      </w:r>
      <w:r>
        <w:t xml:space="preserve"> </w:t>
      </w:r>
      <m:oMath>
        <m:r>
          <m:t>N</m:t>
        </m:r>
        <m:r>
          <m:rPr>
            <m:sty m:val="p"/>
          </m:rPr>
          <m:t>/</m:t>
        </m:r>
        <m:r>
          <m:rPr>
            <m:sty m:val="p"/>
          </m:rPr>
          <m:t>[</m:t>
        </m:r>
        <m:r>
          <m:t>1</m:t>
        </m:r>
        <m:r>
          <m:rPr>
            <m:sty m:val="p"/>
          </m:rPr>
          <m:t>+</m:t>
        </m:r>
        <m:r>
          <m:rPr>
            <m:sty m:val="p"/>
          </m:rPr>
          <m:t>(</m:t>
        </m:r>
        <m:acc>
          <m:accPr>
            <m:chr m:val="‾"/>
          </m:accPr>
          <m:e>
            <m:r>
              <m:t>m</m:t>
            </m:r>
          </m:e>
        </m:acc>
        <m:r>
          <m:rPr>
            <m:sty m:val="p"/>
          </m:rPr>
          <m:t>−</m:t>
        </m:r>
        <m:r>
          <m:t>1</m:t>
        </m:r>
        <m:r>
          <m:rPr>
            <m:sty m:val="p"/>
          </m:rPr>
          <m:t>)</m:t>
        </m:r>
        <m:r>
          <m:t>𝜚</m:t>
        </m:r>
        <m:r>
          <m:rPr>
            <m:sty m:val="p"/>
          </m:rPr>
          <m:t>]</m:t>
        </m:r>
      </m:oMath>
      <w:r>
        <w:t xml:space="preserve">, so</w:t>
      </w:r>
      <w:r>
        <w:t xml:space="preserve"> </w:t>
      </w:r>
      <m:oMath>
        <m:sSub>
          <m:e>
            <m:r>
              <m:t>N</m:t>
            </m:r>
          </m:e>
          <m:sub>
            <m:r>
              <m:rPr>
                <m:sty m:val="p"/>
              </m:rPr>
              <m:t>e</m:t>
            </m:r>
            <m:r>
              <m:rPr>
                <m:sty m:val="p"/>
              </m:rPr>
              <m:t>f</m:t>
            </m:r>
            <m:r>
              <m:rPr>
                <m:sty m:val="p"/>
              </m:rPr>
              <m:t>f</m:t>
            </m:r>
          </m:sub>
        </m:sSub>
        <m:r>
          <m:rPr>
            <m:sty m:val="p"/>
          </m:rPr>
          <m:t>→</m:t>
        </m:r>
        <m:r>
          <m:t>G</m:t>
        </m:r>
      </m:oMath>
      <w:r>
        <w:t xml:space="preserve"> </w:t>
      </w:r>
      <w:r>
        <w:t xml:space="preserve">when</w:t>
      </w:r>
      <w:r>
        <w:t xml:space="preserve"> </w:t>
      </w:r>
      <m:oMath>
        <m:r>
          <m:t>𝜚</m:t>
        </m:r>
        <m:r>
          <m:rPr>
            <m:sty m:val="p"/>
          </m:rPr>
          <m:t>→</m:t>
        </m:r>
        <m:r>
          <m:t>1</m:t>
        </m:r>
      </m:oMath>
      <w:r>
        <w:t xml:space="preserve">.</w:t>
      </w:r>
    </w:p>
    <w:bookmarkEnd w:id="129"/>
    <w:bookmarkEnd w:id="130"/>
    <w:bookmarkStart w:id="131" w:name="appendix-b.-reproducibility-details"/>
    <w:p>
      <w:pPr>
        <w:pStyle w:val="Heading1"/>
      </w:pPr>
      <w:r>
        <w:t xml:space="preserve">Appendix B. Reproducibility details</w:t>
      </w:r>
    </w:p>
    <w:p>
      <w:pPr>
        <w:pStyle w:val="FirstParagraph"/>
      </w:pPr>
      <w:r>
        <w:t xml:space="preserve">All scripts are in the</w:t>
      </w:r>
      <w:r>
        <w:t xml:space="preserve"> </w:t>
      </w:r>
      <w:r>
        <w:rPr>
          <w:rStyle w:val="VerbatimChar"/>
        </w:rPr>
        <w:t xml:space="preserve">src/</w:t>
      </w:r>
      <w:r>
        <w:t xml:space="preserve"> </w:t>
      </w:r>
      <w:r>
        <w:t xml:space="preserve">folder of the repository;</w:t>
      </w:r>
      <w:r>
        <w:t xml:space="preserve"> </w:t>
      </w:r>
      <w:r>
        <w:rPr>
          <w:rStyle w:val="VerbatimChar"/>
        </w:rPr>
        <w:t xml:space="preserve">src/common.py</w:t>
      </w:r>
      <w:r>
        <w:t xml:space="preserve"> </w:t>
      </w:r>
      <w:r>
        <w:t xml:space="preserve">provides the data loaders and the fixed-hyper-parameter models. Main experiments:</w:t>
      </w:r>
      <w:r>
        <w:t xml:space="preserve"> </w:t>
      </w:r>
      <w:r>
        <w:rPr>
          <w:rStyle w:val="VerbatimChar"/>
        </w:rPr>
        <w:t xml:space="preserve">run_experiments.py</w:t>
      </w:r>
      <w:r>
        <w:t xml:space="preserve"> </w:t>
      </w:r>
      <w:r>
        <w:t xml:space="preserve">(ENB2012),</w:t>
      </w:r>
      <w:r>
        <w:t xml:space="preserve"> </w:t>
      </w:r>
      <w:r>
        <w:rPr>
          <w:rStyle w:val="VerbatimChar"/>
        </w:rPr>
        <w:t xml:space="preserve">run_extra.py</w:t>
      </w:r>
      <w:r>
        <w:t xml:space="preserve"> </w:t>
      </w:r>
      <w:r>
        <w:t xml:space="preserve">(Concrete and Parkinson’s; Parkinson’s can be run per protocol and target to use several cores, and results are saved after every model so that interrupted runs can resume). Supplementary experiments:</w:t>
      </w:r>
      <w:r>
        <w:t xml:space="preserve"> </w:t>
      </w:r>
      <w:r>
        <w:rPr>
          <w:rStyle w:val="VerbatimChar"/>
        </w:rPr>
        <w:t xml:space="preserve">exp_theory.py</w:t>
      </w:r>
      <w:r>
        <w:t xml:space="preserve">,</w:t>
      </w:r>
      <w:r>
        <w:t xml:space="preserve"> </w:t>
      </w:r>
      <w:r>
        <w:rPr>
          <w:rStyle w:val="VerbatimChar"/>
        </w:rPr>
        <w:t xml:space="preserve">exp_icc.py</w:t>
      </w:r>
      <w:r>
        <w:t xml:space="preserve">,</w:t>
      </w:r>
      <w:r>
        <w:t xml:space="preserve"> </w:t>
      </w:r>
      <w:r>
        <w:rPr>
          <w:rStyle w:val="VerbatimChar"/>
        </w:rPr>
        <w:t xml:space="preserve">exp_curves.py</w:t>
      </w:r>
      <w:r>
        <w:t xml:space="preserve">,</w:t>
      </w:r>
      <w:r>
        <w:t xml:space="preserve"> </w:t>
      </w:r>
      <w:r>
        <w:rPr>
          <w:rStyle w:val="VerbatimChar"/>
        </w:rPr>
        <w:t xml:space="preserve">exp_parkinsons.py</w:t>
      </w:r>
      <w:r>
        <w:t xml:space="preserve">,</w:t>
      </w:r>
      <w:r>
        <w:t xml:space="preserve"> </w:t>
      </w:r>
      <w:r>
        <w:rPr>
          <w:rStyle w:val="VerbatimChar"/>
        </w:rPr>
        <w:t xml:space="preserve">exp_sensitivity.py</w:t>
      </w:r>
      <w:r>
        <w:t xml:space="preserve">,</w:t>
      </w:r>
      <w:r>
        <w:t xml:space="preserve"> </w:t>
      </w:r>
      <w:r>
        <w:rPr>
          <w:rStyle w:val="VerbatimChar"/>
        </w:rPr>
        <w:t xml:space="preserve">exp_tuning_paths.py</w:t>
      </w:r>
      <w:r>
        <w:t xml:space="preserve">,</w:t>
      </w:r>
      <w:r>
        <w:t xml:space="preserve"> </w:t>
      </w:r>
      <w:r>
        <w:rPr>
          <w:rStyle w:val="VerbatimChar"/>
        </w:rPr>
        <w:t xml:space="preserve">exp_bound_obs.py</w:t>
      </w:r>
      <w:r>
        <w:t xml:space="preserve">,</w:t>
      </w:r>
      <w:r>
        <w:t xml:space="preserve"> </w:t>
      </w:r>
      <w:r>
        <w:rPr>
          <w:rStyle w:val="VerbatimChar"/>
        </w:rPr>
        <w:t xml:space="preserve">exp_ablate_enb_knn.py</w:t>
      </w:r>
      <w:r>
        <w:t xml:space="preserve">,</w:t>
      </w:r>
      <w:r>
        <w:t xml:space="preserve"> </w:t>
      </w:r>
      <w:r>
        <w:rPr>
          <w:rStyle w:val="VerbatimChar"/>
        </w:rPr>
        <w:t xml:space="preserve">ablation_inner_cv.py</w:t>
      </w:r>
      <w:r>
        <w:t xml:space="preserve">. Figures and tables:</w:t>
      </w:r>
      <w:r>
        <w:t xml:space="preserve"> </w:t>
      </w:r>
      <w:r>
        <w:rPr>
          <w:rStyle w:val="VerbatimChar"/>
        </w:rPr>
        <w:t xml:space="preserve">analyze.py</w:t>
      </w:r>
      <w:r>
        <w:t xml:space="preserve">,</w:t>
      </w:r>
      <w:r>
        <w:t xml:space="preserve"> </w:t>
      </w:r>
      <w:r>
        <w:rPr>
          <w:rStyle w:val="VerbatimChar"/>
        </w:rPr>
        <w:t xml:space="preserve">analyze_extra.py</w:t>
      </w:r>
      <w:r>
        <w:t xml:space="preserve">,</w:t>
      </w:r>
      <w:r>
        <w:t xml:space="preserve"> </w:t>
      </w:r>
      <w:r>
        <w:rPr>
          <w:rStyle w:val="VerbatimChar"/>
        </w:rPr>
        <w:t xml:space="preserve">make_paper_figs*.py</w:t>
      </w:r>
      <w:r>
        <w:t xml:space="preserve">,</w:t>
      </w:r>
      <w:r>
        <w:t xml:space="preserve"> </w:t>
      </w:r>
      <w:r>
        <w:rPr>
          <w:rStyle w:val="VerbatimChar"/>
        </w:rPr>
        <w:t xml:space="preserve">fig_structure.py</w:t>
      </w:r>
      <w:r>
        <w:t xml:space="preserve">,</w:t>
      </w:r>
      <w:r>
        <w:t xml:space="preserve"> </w:t>
      </w:r>
      <w:r>
        <w:rPr>
          <w:rStyle w:val="VerbatimChar"/>
        </w:rPr>
        <w:t xml:space="preserve">baselines.py</w:t>
      </w:r>
      <w:r>
        <w:t xml:space="preserve">. Per-fold results are stored as CSV files under</w:t>
      </w:r>
      <w:r>
        <w:t xml:space="preserve"> </w:t>
      </w:r>
      <w:r>
        <w:rPr>
          <w:rStyle w:val="VerbatimChar"/>
        </w:rPr>
        <w:t xml:space="preserve">results/</w:t>
      </w:r>
      <w:r>
        <w:t xml:space="preserve">.</w:t>
      </w:r>
    </w:p>
    <w:bookmarkEnd w:id="131"/>
    <w:bookmarkStart w:id="132" w:name="references"/>
    <w:p>
      <w:pPr>
        <w:pStyle w:val="Heading1"/>
      </w:pPr>
      <w:r>
        <w:t xml:space="preserve">References</w:t>
      </w:r>
    </w:p>
    <w:p>
      <w:pPr>
        <w:pStyle w:val="FirstParagraph"/>
      </w:pPr>
      <w:r>
        <w:t xml:space="preserve">[1] S. Kaufman, S. Rosset, C. Perlich, O. Stitelman, Leakage in data mining: formulation, detection, and avoidance, ACM Transactions on Knowledge Discovery from Data 6 (4) (2012) 15. doi:10.1145/2382577.2382579.</w:t>
      </w:r>
    </w:p>
    <w:p>
      <w:pPr>
        <w:pStyle w:val="BodyText"/>
      </w:pPr>
      <w:r>
        <w:t xml:space="preserve">[2] S. Kapoor, A. Narayanan, Leakage and the reproducibility crisis in machine-learning-based science, Patterns 4 (9) (2023) 100804. doi:10.1016/j.patter.2023.100804.</w:t>
      </w:r>
    </w:p>
    <w:p>
      <w:pPr>
        <w:pStyle w:val="BodyText"/>
      </w:pPr>
      <w:r>
        <w:t xml:space="preserve">[3] C. Ambroise, G.J. McLachlan, Selection bias in gene extraction on the basis of microarray gene-expression data, Proceedings of the National Academy of Sciences 99 (10) (2002) 6562–6566. doi:10.1073/pnas.102102699.</w:t>
      </w:r>
    </w:p>
    <w:p>
      <w:pPr>
        <w:pStyle w:val="BodyText"/>
      </w:pPr>
      <w:r>
        <w:t xml:space="preserve">[4] D.R. Roberts, V. Bahn, S. Ciuti, M.S. Boyce, J. Elith, G. Guillera-Arroita, et al., Cross-validation strategies for data with temporal, spatial, hierarchical, or phylogenetic structure, Ecography 40 (8) (2017) 913–929. doi:10.1111/ecog.02881.</w:t>
      </w:r>
    </w:p>
    <w:p>
      <w:pPr>
        <w:pStyle w:val="BodyText"/>
      </w:pPr>
      <w:r>
        <w:t xml:space="preserve">[5] S. Saeb, L. Lonini, A. Jayaraman, D.C. Mohr, K.P. Kording, The need to approximate the use-case in clinical machine learning, GigaScience 6 (5) (2017) gix019.</w:t>
      </w:r>
    </w:p>
    <w:p>
      <w:pPr>
        <w:pStyle w:val="BodyText"/>
      </w:pPr>
      <w:r>
        <w:t xml:space="preserve">[6] M. Rosenblatt, L. Tejavibulya, R. Jiang, et al., Data leakage inflates prediction performance in connectome-based machine learning models, Nature Communications 15 (2024) 1829. doi:10.1038/s41467-024-46150-w.</w:t>
      </w:r>
    </w:p>
    <w:p>
      <w:pPr>
        <w:pStyle w:val="BodyText"/>
      </w:pPr>
      <w:r>
        <w:t xml:space="preserve">[7] P. Ploton, F. Mortier, et al., Spatial validation reveals poor predictive performance of large-scale ecological mapping models, Nature Communications 11 (2020) 4540.</w:t>
      </w:r>
    </w:p>
    <w:p>
      <w:pPr>
        <w:pStyle w:val="BodyText"/>
      </w:pPr>
      <w:r>
        <w:t xml:space="preserve">[8] A. Tsanas, A. Xifara, Accurate quantitative estimation of energy performance of residential buildings using statistical machine learning tools, Energy and Buildings 49 (2012) 560–567.</w:t>
      </w:r>
    </w:p>
    <w:p>
      <w:pPr>
        <w:pStyle w:val="BodyText"/>
      </w:pPr>
      <w:r>
        <w:t xml:space="preserve">[9] I-C. Yeh, Modeling of strength of high-performance concrete using artificial neural networks, Cement and Concrete Research 28 (12) (1998) 1797–1808.</w:t>
      </w:r>
    </w:p>
    <w:p>
      <w:pPr>
        <w:pStyle w:val="BodyText"/>
      </w:pPr>
      <w:r>
        <w:t xml:space="preserve">[10] A. Tsanas, M.A. Little, P.E. McSharry, L.O. Ramig, Accurate telemonitoring of Parkinson’s disease progression by non-invasive speech tests, IEEE Transactions on Biomedical Engineering 57 (4) (2010) 884–893.</w:t>
      </w:r>
    </w:p>
    <w:p>
      <w:pPr>
        <w:pStyle w:val="BodyText"/>
      </w:pPr>
      <w:r>
        <w:t xml:space="preserve">[11] G.C. Cawley, N.L.C. Talbot, On over-fitting in model selection and subsequent selection bias in performance evaluation, Journal of Machine Learning Research 11 (2010) 2079–2107.</w:t>
      </w:r>
    </w:p>
    <w:p>
      <w:pPr>
        <w:pStyle w:val="BodyText"/>
      </w:pPr>
      <w:r>
        <w:t xml:space="preserve">[12] S. Varma, R. Simon, Bias in error estimation when using cross-validation for model selection, BMC Bioinformatics 7 (2006) 91.</w:t>
      </w:r>
    </w:p>
    <w:p>
      <w:pPr>
        <w:pStyle w:val="BodyText"/>
      </w:pPr>
      <w:r>
        <w:t xml:space="preserve">[13] H. Meyer, C. Reudenbach, T. Hengl, M. Katurji, T. Nauss, Improving performance of spatio-temporal machine learning models using forward feature selection and target-oriented validation, Environmental Modelling &amp; Software 101 (2018) 1–9. doi:10.1016/j.envsoft.2017.12.001.</w:t>
      </w:r>
    </w:p>
    <w:p>
      <w:pPr>
        <w:pStyle w:val="BodyText"/>
      </w:pPr>
      <w:r>
        <w:t xml:space="preserve">[14] E. Chaibub Neto, A. Pratap, T.M. Perumal, et al., Detecting the impact of subject characteristics on machine learning-based diagnostic applications, npj Digital Medicine 2 (2019) 99. doi:10.1038/s41746-019-0178-x.</w:t>
      </w:r>
    </w:p>
    <w:p>
      <w:pPr>
        <w:pStyle w:val="BodyText"/>
      </w:pPr>
      <w:r>
        <w:t xml:space="preserve">[15] S.A. Al-Azazi, Risk-aware explainable multi-output workflow for early-stage screening of building heating and cooling load indicators, Scientific Reports (2026), article s41598-026-59378-x.</w:t>
      </w:r>
    </w:p>
    <w:p>
      <w:pPr>
        <w:pStyle w:val="BodyText"/>
      </w:pPr>
      <w:r>
        <w:t xml:space="preserve">[16] C. Bergmeir, J.M. Benítez, On the use of cross-validation for time series predictor evaluation, Information Sciences 191 (2012) 192–213. doi:10.1016/j.ins.2011.12.028.</w:t>
      </w:r>
    </w:p>
    <w:p>
      <w:pPr>
        <w:pStyle w:val="BodyText"/>
      </w:pPr>
      <w:r>
        <w:t xml:space="preserve">[17] S. Arlot, A. Celisse, A survey of cross-validation procedures for model selection, Statistics Surveys 4 (2010) 40–79. doi:10.1214/09-SS054.</w:t>
      </w:r>
    </w:p>
    <w:p>
      <w:pPr>
        <w:pStyle w:val="BodyText"/>
      </w:pPr>
      <w:r>
        <w:t xml:space="preserve">[18] G. Varoquaux, Cross-validation failure: small sample sizes lead to large error bars, NeuroImage 180 (2018) 68–77. doi:10.1016/j.neuroimage.2017.06.061.</w:t>
      </w:r>
    </w:p>
    <w:p>
      <w:pPr>
        <w:pStyle w:val="BodyText"/>
      </w:pPr>
      <w:r>
        <w:t xml:space="preserve">[19] S. Bates, T. Hastie, R. Tibshirani, Cross-validation: what does it estimate and how well does it do it?, Journal of the American Statistical Association 119 (546) (2024) 1434–1445.</w:t>
      </w:r>
    </w:p>
    <w:p>
      <w:pPr>
        <w:pStyle w:val="BodyText"/>
      </w:pPr>
      <w:r>
        <w:t xml:space="preserve">[20] J-S. Chou, D-K. Bui, Modeling heating and cooling loads by artificial intelligence for energy-efficient building design, Energy and Buildings 82 (2014) 437–446. doi:10.1016/j.enbuild.2014.07.036.</w:t>
      </w:r>
    </w:p>
    <w:p>
      <w:pPr>
        <w:pStyle w:val="BodyText"/>
      </w:pPr>
      <w:r>
        <w:t xml:space="preserve">[21] M-Y. Cheng, M-T. Cao, Accurately predicting building energy performance using evolutionary multivariate adaptive regression splines, Applied Soft Computing 22 (2014) 178–188.</w:t>
      </w:r>
    </w:p>
    <w:p>
      <w:pPr>
        <w:pStyle w:val="BodyText"/>
      </w:pPr>
      <w:r>
        <w:t xml:space="preserve">[22] K. Kavaklioglu, Robust modeling of heating and cooling loads using partial least squares towards efficient residential building design, Journal of Building Engineering 18 (2018) 467–475. doi:10.1016/j.jobe.2018.04.018.</w:t>
      </w:r>
    </w:p>
    <w:p>
      <w:pPr>
        <w:pStyle w:val="BodyText"/>
      </w:pPr>
      <w:r>
        <w:t xml:space="preserve">[23] H. Moayedi, D.T. Bui, A. Dounis, Z. Lyu, L.K. Foong, Predicting heating load in energy-efficient buildings through machine learning techniques, Applied Sciences 9 (20) (2019) 4338. doi:10.3390/app9204338.</w:t>
      </w:r>
    </w:p>
    <w:p>
      <w:pPr>
        <w:pStyle w:val="BodyText"/>
      </w:pPr>
      <w:r>
        <w:t xml:space="preserve">[24] J-S. Chou, C-F. Tsai, A-D. Pham, Y-H. Lu, Machine learning in concrete strength simulations: multi-nation data analytics, Construction and Building Materials 73 (2014) 771–780. doi:10.1016/j.conbuildmat.2014.09.054.</w:t>
      </w:r>
    </w:p>
    <w:p>
      <w:pPr>
        <w:pStyle w:val="BodyText"/>
      </w:pPr>
      <w:r>
        <w:t xml:space="preserve">[25] S. Sheikhi, M.T. Kheirabadi, An efficient rotation forest-based ensemble approach for predicting severity of Parkinson’s disease, Journal of Healthcare Engineering (2022) 5524852. doi:10.1155/2022/5524852.</w:t>
      </w:r>
    </w:p>
    <w:p>
      <w:pPr>
        <w:pStyle w:val="BodyText"/>
      </w:pPr>
      <w:r>
        <w:t xml:space="preserve">[26] B.A. Omodunbi, D.B. Olawade, O.F. Awe, A.A. Soladoye, N. Aderinto, S.V. Ovsepian, S. Boussios, Stacked ensemble learning for classification of Parkinson’s disease using telemonitoring vocal features, Diagnostics 15 (12) (2025) 1467. doi:10.3390/diagnostics15121467.</w:t>
      </w:r>
    </w:p>
    <w:p>
      <w:pPr>
        <w:pStyle w:val="BodyText"/>
      </w:pPr>
      <w:r>
        <w:t xml:space="preserve">[27] K. Amasyali, N.M. El-Gohary, A review of data-driven building energy consumption prediction studies, Renewable and Sustainable Energy Reviews 81 (2018) 1192–1205. doi:10.1016/j.rser.2017.04.095.</w:t>
      </w:r>
    </w:p>
    <w:p>
      <w:pPr>
        <w:pStyle w:val="BodyText"/>
      </w:pPr>
      <w:r>
        <w:t xml:space="preserve">[28] Y. Wei, X. Zhang, Y. Shi, L. Xia, S. Pan, J. Wu, M. Han, X. Zhao, A review of data-driven approaches for prediction and classification of building energy consumption, Renewable and Sustainable Energy Reviews 82 (2018) 1027–1047.</w:t>
      </w:r>
    </w:p>
    <w:p>
      <w:pPr>
        <w:pStyle w:val="BodyText"/>
      </w:pPr>
      <w:r>
        <w:t xml:space="preserve">[29] C. Miller, A. Kathirgamanathan, et al., The Building Data Genome Project 2, energy meter data from the ASHRAE Great Energy Predictor III competition, Scientific Data 7 (2020) 368. doi:10.1038/s41597-020-00712-x.</w:t>
      </w:r>
    </w:p>
    <w:p>
      <w:pPr>
        <w:pStyle w:val="BodyText"/>
      </w:pPr>
      <w:r>
        <w:t xml:space="preserve">[30] P.E. Shrout, J.L. Fleiss, Intraclass correlations: uses in assessing rater reliability, Psychological Bulletin 86 (2) (1979) 420–428. doi:10.1037/0033-2909.86.2.420.</w:t>
      </w:r>
    </w:p>
    <w:p>
      <w:pPr>
        <w:pStyle w:val="BodyText"/>
      </w:pPr>
      <w:r>
        <w:t xml:space="preserve">[31] S.R. Searle, G. Casella, C.E. McCulloch, Variance Components, John Wiley &amp; Sons, New York, 1992.</w:t>
      </w:r>
    </w:p>
    <w:p>
      <w:pPr>
        <w:pStyle w:val="BodyText"/>
      </w:pPr>
      <w:r>
        <w:t xml:space="preserve">[32] C.R. Henderson, Best linear unbiased estimation and prediction under a selection model, Biometrics 31 (1975) 423–447.</w:t>
      </w:r>
    </w:p>
    <w:p>
      <w:pPr>
        <w:pStyle w:val="BodyText"/>
      </w:pPr>
      <w:r>
        <w:t xml:space="preserve">[33] G.K. Robinson, That BLUP is a good thing: the estimation of random effects, Statistical Science 6 (1991) 15–32. doi:10.1214/ss/1177011926.</w:t>
      </w:r>
    </w:p>
    <w:p>
      <w:pPr>
        <w:pStyle w:val="BodyText"/>
      </w:pPr>
      <w:r>
        <w:t xml:space="preserve">[34] L. Kish, Survey Sampling, John Wiley &amp; Sons, New York, 1965.</w:t>
      </w:r>
    </w:p>
    <w:p>
      <w:pPr>
        <w:pStyle w:val="BodyText"/>
      </w:pPr>
      <w:r>
        <w:t xml:space="preserve">[35] B. Efron, R.J. Tibshirani, An Introduction to the Bootstrap, Chapman &amp; Hall, New York, 1993.</w:t>
      </w:r>
    </w:p>
    <w:p>
      <w:pPr>
        <w:pStyle w:val="BodyText"/>
      </w:pPr>
      <w:r>
        <w:t xml:space="preserve">[36] S. Fahn, R.L. Elton, UPDRS Program Members, Unified Parkinson’s Disease Rating Scale, in: S. Fahn, C.D. Marsden, M. Goldstein, D.B. Calne (Eds.), Recent Developments in Parkinson’s Disease, vol. 2, Macmillan Healthcare Information, Florham Park, NJ, 1987, pp. 153–163.</w:t>
      </w:r>
    </w:p>
    <w:p>
      <w:pPr>
        <w:pStyle w:val="BodyText"/>
      </w:pPr>
      <w:r>
        <w:t xml:space="preserve">[37] A.E. Hoerl, R.W. Kennard, Ridge regression: biased estimation for nonorthogonal problems, Technometrics 12 (1) (1970) 55–67.</w:t>
      </w:r>
    </w:p>
    <w:p>
      <w:pPr>
        <w:pStyle w:val="BodyText"/>
      </w:pPr>
      <w:r>
        <w:t xml:space="preserve">[38] C. Cortes, V. Vapnik, Support-vector networks, Machine Learning 20 (1995) 273–297. doi:10.1007/BF00994018.</w:t>
      </w:r>
    </w:p>
    <w:p>
      <w:pPr>
        <w:pStyle w:val="BodyText"/>
      </w:pPr>
      <w:r>
        <w:t xml:space="preserve">[39] L. Breiman, Random forests, Machine Learning 45 (1) (2001) 5–32. doi:10.1023/A:1010933404324.</w:t>
      </w:r>
    </w:p>
    <w:p>
      <w:pPr>
        <w:pStyle w:val="BodyText"/>
      </w:pPr>
      <w:r>
        <w:t xml:space="preserve">[40] J.H. Friedman, Greedy function approximation: a gradient boosting machine, Annals of Statistics 29 (5) (2001) 1189–1232. doi:10.1214/aos/1013203451.</w:t>
      </w:r>
    </w:p>
    <w:p>
      <w:pPr>
        <w:pStyle w:val="BodyText"/>
      </w:pPr>
      <w:r>
        <w:t xml:space="preserve">[41] F. Pedregosa, G. Varoquaux, et al., Scikit-learn: machine learning in Python, Journal of Machine Learning Research 12 (2011) 2825–2830.</w:t>
      </w:r>
    </w:p>
    <w:p>
      <w:pPr>
        <w:pStyle w:val="BodyText"/>
      </w:pPr>
      <w:r>
        <w:t xml:space="preserve">[42] F. Wilcoxon, Individual comparisons by ranking methods, Biometrics Bulletin 1 (6) (1945) 80–83.</w:t>
      </w:r>
    </w:p>
    <w:p>
      <w:pPr>
        <w:pStyle w:val="BodyText"/>
      </w:pPr>
      <w:r>
        <w:t xml:space="preserve">[43] J. Demšar, Statistical comparisons of classifiers over multiple data sets, Journal of Machine Learning Research 7 (2006) 1–30.</w:t>
      </w:r>
    </w:p>
    <w:bookmarkEnd w:id="132"/>
    <w:sectPr>
      <w:footerReference w:type="default" r:id="rId10"/>
      <w:footnotePr>
        <w:numRestart w:val="eachSect"/>
      </w:footnotePr>
      <w:pgSz w:h="16838" w:w="11906"/>
      <w:pgMar w:bottom="1417" w:left="1417" w:right="1417" w:top="1417" w:gutter="0" w:header="708" w:footer="708"/>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r>
    <w:r>
      <w:rPr>
        <w:sz w:val="18"/>
      </w:rPr>
      <w:instrText xml:space="preserve"> PAGE </w:instrText>
    </w:r>
    <w:r>
      <w:rPr>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color w:val="000000"/>
      <w:sz w:val="22"/>
    </w:rPr>
  </w:style>
  <w:style w:styleId="BodyText" w:type="paragraph">
    <w:name w:val="Body Text"/>
    <w:basedOn w:val="Normal"/>
    <w:link w:val="BodyTextChar"/>
    <w:qFormat/>
    <w:pPr>
      <w:spacing w:after="120" w:before="0" w:line="276" w:lineRule="auto"/>
      <w:jc w:val="both"/>
    </w:pPr>
    <w:rPr>
      <w:rFonts w:ascii="Times New Roman" w:cs="Times New Roman" w:eastAsia="Times New Roman" w:hAnsi="Times New Roman"/>
      <w:color w:val="000000"/>
      <w:sz w:val="22"/>
    </w:rPr>
  </w:style>
  <w:style w:customStyle="1" w:styleId="FirstParagraph" w:type="paragraph">
    <w:name w:val="First Paragraph"/>
    <w:basedOn w:val="BodyText"/>
    <w:next w:val="BodyText"/>
    <w:qFormat/>
    <w:pPr>
      <w:spacing w:after="120" w:before="0" w:line="276" w:lineRule="auto"/>
      <w:jc w:val="both"/>
    </w:pPr>
    <w:rPr>
      <w:rFonts w:ascii="Times New Roman" w:cs="Times New Roman" w:eastAsia="Times New Roman" w:hAnsi="Times New Roman"/>
      <w:color w:val="000000"/>
      <w:sz w:val="22"/>
    </w:rPr>
  </w:style>
  <w:style w:customStyle="1" w:styleId="Compact" w:type="paragraph">
    <w:name w:val="Compact"/>
    <w:basedOn w:val="BodyText"/>
    <w:qFormat/>
    <w:pPr>
      <w:spacing w:after="20" w:before="20"/>
    </w:pPr>
    <w:rPr>
      <w:rFonts w:ascii="Times New Roman" w:cs="Times New Roman" w:eastAsia="Times New Roman" w:hAnsi="Times New Roman"/>
      <w:color w:val="000000"/>
      <w:sz w:val="17"/>
    </w:rPr>
  </w:style>
  <w:style w:styleId="Title" w:type="paragraph">
    <w:name w:val="Title"/>
    <w:basedOn w:val="Normal"/>
    <w:next w:val="BodyText"/>
    <w:link w:val="TitleChar"/>
    <w:uiPriority w:val="10"/>
    <w:qFormat/>
    <w:rsid w:val="00A10FD9"/>
    <w:pPr>
      <w:spacing w:after="200" w:line="240" w:lineRule="auto"/>
      <w:contextualSpacing/>
      <w:jc w:val="center"/>
    </w:pPr>
    <w:rPr>
      <w:rFonts w:ascii="Times New Roman" w:cs="Times New Roman" w:eastAsia="Times New Roman" w:hAnsi="Times New Roman"/>
      <w:b/>
      <w:color w:val="000000"/>
      <w:sz w:val="3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BodyText"/>
    <w:next w:val="BodyText"/>
    <w:qFormat/>
    <w:pPr>
      <w:keepNext/>
      <w:keepLines/>
      <w:jc w:val="center"/>
    </w:pPr>
    <w:rPr>
      <w:rFonts w:ascii="Times New Roman" w:cs="Times New Roman" w:eastAsia="Times New Roman" w:hAnsi="Times New Roman"/>
      <w:b w:val="0"/>
      <w:color w:val="000000"/>
      <w:sz w:val="22"/>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240"/>
      <w:outlineLvl w:val="0"/>
    </w:pPr>
    <w:rPr>
      <w:rFonts w:ascii="Times New Roman" w:cs="Times New Roman" w:eastAsia="Times New Roman" w:hAnsi="Times New Roman"/>
      <w:b/>
      <w:i w:val="0"/>
      <w:color w:val="000000"/>
      <w:sz w:val="2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Times New Roman" w:hAnsi="Times New Roman"/>
      <w:b/>
      <w:i w:val="0"/>
      <w:color w:val="000000"/>
      <w:sz w:val="23"/>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eastAsia="Times New Roman" w:hAnsi="Times New Roman"/>
      <w:b/>
      <w:i/>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60" w:before="160" w:line="240" w:lineRule="auto"/>
      <w:jc w:val="both"/>
    </w:pPr>
    <w:rPr>
      <w:rFonts w:ascii="Times New Roman" w:cs="Times New Roman" w:eastAsia="Times New Roman" w:hAnsi="Times New Roman"/>
      <w:i w:val="0"/>
      <w:color w:val="000000"/>
      <w:sz w:val="18"/>
    </w:rPr>
  </w:style>
  <w:style w:customStyle="1" w:styleId="ImageCaption" w:type="paragraph">
    <w:name w:val="Image Caption"/>
    <w:basedOn w:val="Caption"/>
    <w:pPr>
      <w:spacing w:after="160" w:before="60" w:line="240" w:lineRule="auto"/>
      <w:jc w:val="both"/>
    </w:pPr>
    <w:rPr>
      <w:rFonts w:ascii="Times New Roman" w:cs="Times New Roman" w:eastAsia="Times New Roman" w:hAnsi="Times New Roman"/>
      <w:i w:val="0"/>
      <w:color w:val="000000"/>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color w:val="000000"/>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Affiliation" w:type="paragraph">
    <w:name w:val="Affiliation"/>
    <w:basedOn w:val="BodyText"/>
    <w:pPr>
      <w:jc w:val="center"/>
    </w:pPr>
    <w:rPr>
      <w:rFonts w:ascii="Times New Roman" w:cs="Times New Roman" w:eastAsia="Times New Roman" w:hAnsi="Times New Roman"/>
      <w:b w:val="0"/>
      <w:color w:val="000000"/>
      <w:sz w:val="20"/>
    </w:rPr>
  </w:style>
  <w:style w:customStyle="1" w:styleId="Keywords" w:type="paragraph">
    <w:name w:val="Keywords"/>
    <w:basedOn w:val="BodyText"/>
    <w:pPr>
      <w:jc w:val="left"/>
    </w:pPr>
    <w:rPr>
      <w:rFonts w:ascii="Times New Roman" w:cs="Times New Roman" w:eastAsia="Times New Roman" w:hAnsi="Times New Roman"/>
      <w:b w:val="0"/>
      <w:color w:val="000000"/>
      <w:sz w:val="20"/>
    </w:rPr>
  </w:style>
  <w:style w:customStyle="1" w:styleId="HeadingUnnumbered" w:type="paragraph">
    <w:name w:val="Heading Unnumbered"/>
    <w:basedOn w:val="Heading1"/>
    <w:pPr>
      <w:keepNext/>
      <w:spacing w:before="240"/>
    </w:pPr>
    <w:rPr>
      <w:rFonts w:ascii="Times New Roman" w:cs="Times New Roman" w:eastAsia="Times New Roman" w:hAnsi="Times New Roman"/>
      <w:b/>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33" Type="http://schemas.openxmlformats.org/officeDocument/2006/relationships/image" Target="media/rId33.png"/><Relationship Id="rId49" Type="http://schemas.openxmlformats.org/officeDocument/2006/relationships/image" Target="media/rId49.png"/><Relationship Id="rId55" Type="http://schemas.openxmlformats.org/officeDocument/2006/relationships/image" Target="media/rId55.png"/><Relationship Id="rId59" Type="http://schemas.openxmlformats.org/officeDocument/2006/relationships/image" Target="media/rId59.png"/><Relationship Id="rId64" Type="http://schemas.openxmlformats.org/officeDocument/2006/relationships/image" Target="media/rId64.png"/><Relationship Id="rId67" Type="http://schemas.openxmlformats.org/officeDocument/2006/relationships/image" Target="media/rId67.png"/><Relationship Id="rId73" Type="http://schemas.openxmlformats.org/officeDocument/2006/relationships/image" Target="media/rId73.png"/><Relationship Id="rId77" Type="http://schemas.openxmlformats.org/officeDocument/2006/relationships/image" Target="media/rId77.png"/><Relationship Id="rId82" Type="http://schemas.openxmlformats.org/officeDocument/2006/relationships/image" Target="media/rId82.png"/><Relationship Id="rId87" Type="http://schemas.openxmlformats.org/officeDocument/2006/relationships/image" Target="media/rId87.png"/><Relationship Id="rId93" Type="http://schemas.openxmlformats.org/officeDocument/2006/relationships/image" Target="media/rId93.png"/><Relationship Id="rId98" Type="http://schemas.openxmlformats.org/officeDocument/2006/relationships/image" Target="media/rId98.png"/><Relationship Id="rId104" Type="http://schemas.openxmlformats.org/officeDocument/2006/relationships/image" Target="media/rId104.png"/><Relationship Id="rId113" Type="http://schemas.openxmlformats.org/officeDocument/2006/relationships/image" Target="media/rId113.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leakage in tabular regression benchmarks: theory, measurement and remedies</dc:title>
  <dc:creator/>
  <cp:keywords/>
  <dcterms:created xsi:type="dcterms:W3CDTF">2026-10-01T11:02:29Z</dcterms:created>
  <dcterms:modified xsi:type="dcterms:W3CDTF">2026-10-01T11:02:29Z</dcterms:modified>
</cp:coreProperties>
</file>

<file path=docProps/custom.xml><?xml version="1.0" encoding="utf-8"?>
<Properties xmlns="http://schemas.openxmlformats.org/officeDocument/2006/custom-properties" xmlns:vt="http://schemas.openxmlformats.org/officeDocument/2006/docPropsVTypes"/>
</file>