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https://huggingface.co/spaces/deep3072/part3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4: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https://0535d65db5a34bee22.gradio.live/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Below is the screenshot for part3 running on hugging space.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Used tmux to keep running my instance in the background. Below is the screenshot for python app.py command run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Below is the screenshot for the actual test on the deployed site.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huggingface.co/spaces/deep3072/part3" TargetMode="External"/><Relationship Id="rId7" Type="http://schemas.openxmlformats.org/officeDocument/2006/relationships/hyperlink" Target="https://0535d65db5a34bee22.gradio.live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