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 Proof of Concept (PoC): Linux Security - Exploitation &amp; Hardening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3spgcauupr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Task 1: User &amp; Permission Misconfigurations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347sylwl7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PoC demonstrates how improper user permissions can lead to security vulnerabilities in Linux systems. We will exploit misconfigured file permissions and then implement mitigation techniques to secure the system.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ptxjz6zx6r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Step 1: Setup - Creating Users &amp; Misconfiguring Permissions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Create multiple users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3009900" cy="2028825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Assign incorrect permissions to sensitive files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3286125" cy="11049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above commands make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/etc/shadow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/etc/passwd</w:t>
      </w:r>
      <w:r w:rsidDel="00000000" w:rsidR="00000000" w:rsidRPr="00000000">
        <w:rPr>
          <w:rtl w:val="0"/>
        </w:rPr>
        <w:t xml:space="preserve"> files world-readable and writable, which can allow unauthorized users to manipulate authentication-related information.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wwfzkbxorr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Step 2: Exploitation - Demonstrating Unauthorized Access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Switch to a low-privileged user and access sensitive files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2162175" cy="7067550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06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Attempt privilege escalation by modifying /etc/passwd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4772025" cy="158115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creates a backdoor root account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hacker</w:t>
      </w:r>
      <w:r w:rsidDel="00000000" w:rsidR="00000000" w:rsidRPr="00000000">
        <w:rPr>
          <w:rtl w:val="0"/>
        </w:rPr>
        <w:t xml:space="preserve">) by adding a user with UID and GID of 0 (root privileges).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Exploiting this misconfiguration allows an attacker to gain unauthorized root access.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jmq6jrijk1x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Step 3: Mitigation - Fixing Permission Issues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Correct permissions using chmod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3038475" cy="116205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Set correct ownership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3705225" cy="2143125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Restrict sudo access using visudo</w:t>
        <w:br w:type="textWrapping"/>
        <w:br w:type="textWrapping"/>
      </w:r>
      <w:r w:rsidDel="00000000" w:rsidR="00000000" w:rsidRPr="00000000">
        <w:rPr>
          <w:rtl w:val="0"/>
        </w:rPr>
        <w:t xml:space="preserve"> sudo visudo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 unnecessary sudo privileges for users to prevent unauthorized privilege escalation.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au701o2mkb6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Deliverables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Commands executed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Screenshots demonstrating unauthorized access and applied fixes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Video: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Screen recording showing misconfigurations, exploitation, and mitigation in action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wu74ipd8obl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Conclusion: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PoC highlights the risks of improper file permissions and demonstrates how attackers can exploit misconfigurations to escalate privileges. By applying security best practices such as </w:t>
      </w:r>
      <w:r w:rsidDel="00000000" w:rsidR="00000000" w:rsidRPr="00000000">
        <w:rPr>
          <w:b w:val="1"/>
          <w:rtl w:val="0"/>
        </w:rPr>
        <w:t xml:space="preserve">restricting file permissions, enforcing correct ownership, and managing sudo access</w:t>
      </w:r>
      <w:r w:rsidDel="00000000" w:rsidR="00000000" w:rsidRPr="00000000">
        <w:rPr>
          <w:rtl w:val="0"/>
        </w:rPr>
        <w:t xml:space="preserve">, we can significantly enhance the security posture of Linux systems.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5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6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