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Customer Retention Analytics</w:t>
      </w:r>
    </w:p>
    <w:p>
      <w:pPr>
        <w:spacing w:after="200"/>
      </w:pPr>
      <w:r>
        <w:rPr>
          <w:rFonts w:ascii="Arial" w:cs="Arial" w:eastAsia="Arial" w:hAnsi="Arial"/>
          <w:color w:val="2A9D8F"/>
          <w:sz w:val="34"/>
          <w:szCs w:val="34"/>
        </w:rPr>
        <w:t xml:space="preserve">Strategic Report and Presentation Storyboard</w:t>
      </w:r>
    </w:p>
    <w:p>
      <w:pPr>
        <w:pBdr>
          <w:bottom w:val="single" w:color="1F3A5F" w:sz="12" w:space="6"/>
        </w:pBdr>
        <w:spacing w:after="100"/>
      </w:pPr>
    </w:p>
    <w:p>
      <w:pPr>
        <w:spacing w:after="120" w:line="276"/>
        <w:rPr>
          <w:color w:val="555555"/>
        </w:rPr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Final week deliverable: synthesis of findings, strategic recommendations, interactive dashboard plan, and communication strategy.</w:t>
      </w:r>
    </w:p>
    <w:p>
      <w:pPr>
        <w:spacing w:after="120" w:line="276"/>
        <w:rPr>
          <w:color w:val="555555"/>
        </w:rPr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Repository: analytics-strategy-report (see Appendix A)</w:t>
      </w:r>
    </w:p>
    <w:p>
      <w:pPr>
        <w:pBdr>
          <w:left w:val="single" w:color="2A9D8F" w:sz="24" w:space="8"/>
        </w:pBdr>
        <w:shd w:fill="EAF6F4" w:val="clear"/>
        <w:spacing w:after="160" w:before="12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Note on data: the numbers in this report come from a reproducible synthetic e-commerce dataset (5,000 customers) included in the repository so every figure can be regenerated. To adapt the report to your own project, replace data/raw/customers.csv and re-run the pipeline; the structure, narrative and code remain valid.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Context. </w:t>
      </w:r>
      <w:r>
        <w:rPr>
          <w:rFonts w:ascii="Arial" w:cs="Arial" w:eastAsia="Arial" w:hAnsi="Arial"/>
          <w:sz w:val="22"/>
          <w:szCs w:val="22"/>
        </w:rPr>
        <w:t xml:space="preserve">The business lost roughly one in four customers (24.5%) over the last 12 months while generating $2.44M in revenue from a base of 5,000 customers. Retention spend has been broad and untargeted. The analytics project asked: who is leaving, why, and where should limited retention budget go?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found. </w:t>
      </w:r>
      <w:r>
        <w:rPr>
          <w:rFonts w:ascii="Arial" w:cs="Arial" w:eastAsia="Arial" w:hAnsi="Arial"/>
          <w:sz w:val="22"/>
          <w:szCs w:val="22"/>
        </w:rPr>
        <w:t xml:space="preserve">Churn is concentrated, not uniform. Budget customers churn at 34.6% versus 15.3% for Premium, yet Premium customers deliver 53% of revenue. Behavioural signals appear well before a customer leaves: customers with three or more support tickets churn at 44.4% (against 15.8% with none), and customers inactive for over 90 days churn at 32.4% (against 12.5% for those active within 30 days). A logistic regression model ranks customers by risk with an AUC of 0.76 on held-out data.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recommend. </w:t>
      </w:r>
      <w:r>
        <w:rPr>
          <w:rFonts w:ascii="Arial" w:cs="Arial" w:eastAsia="Arial" w:hAnsi="Arial"/>
          <w:sz w:val="22"/>
          <w:szCs w:val="22"/>
        </w:rPr>
        <w:t xml:space="preserve">Shift from broad discounts to a risk-tiered retention programme: (1) proactive outreach to the 454 still-active high-risk customers who represent $128.5K of annual revenue, (2) a support-escalation rule for repeat-ticket customers, and (3) an automated 60-day win-back trigger. Under a conservative assumption that outreach saves 25% of high-risk revenue, the programme protects roughly $32K a year before costs, with the largest upside in extending the approach to the Standard segment.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it will be communicated. </w:t>
      </w:r>
      <w:r>
        <w:rPr>
          <w:rFonts w:ascii="Arial" w:cs="Arial" w:eastAsia="Arial" w:hAnsi="Arial"/>
          <w:sz w:val="22"/>
          <w:szCs w:val="22"/>
        </w:rPr>
        <w:t xml:space="preserve">An interactive Plotly Dash dashboard and a 12-slide narrative (Section 7) move the audience from "how big is the problem" to "where is it" to "why is it happening" to "what do we do on Monday".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Summary of the Analytics Process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project followed five stages. Each stage produced an artefact that is stored in the repository, which makes the work auditable and repeatable.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was done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repository location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Frame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Defined churn as no purchase in the following 12 months; agreed success metrics (churn rate, revenue retained).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Problem statement (this report, Section 1)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Prepare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Assembled customer-level data: demographics, order history, support tickets, engagement; checked missing values and outliers.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src/generate_data.py, data/raw/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Explore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Segmented churn by customer tier, region, ticket volume and recency; looked for the largest gaps.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src/analysis.py, data/processed/by_*.csv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Model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Fitted a standardised logistic regression (75/25 split, stratified); scored every customer and bucketed into Low/Medium/High risk.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data/processed/drivers.csv, customers_scored.csv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Communicate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Built the dashboard, exported static charts, and wrote this report and storyboard.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src/dashboard.py, src/make_charts.py, docs/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Logistic regression was chosen deliberately: its coefficients are directly explainable to non-technical stakeholders, which matters more here than squeezing out extra accuracy. A gradient-boosted model is a sensible next step if the business wants higher precision.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Key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Finding 1: Churn is concentrated in Budget customers, but revenue sits with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Churn rate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 of 12m revenue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1,904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34.6%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8.8%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2,126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19.7%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38.5%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15.3%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52.8%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 what: </w:t>
      </w:r>
      <w:r>
        <w:rPr>
          <w:rFonts w:ascii="Arial" w:cs="Arial" w:eastAsia="Arial" w:hAnsi="Arial"/>
          <w:sz w:val="22"/>
          <w:szCs w:val="22"/>
        </w:rPr>
        <w:t xml:space="preserve">Budget churn is a volume problem; Premium churn is a value problem. Losing 1% of Premium customers costs roughly twelve times more revenue than losing 1% of Budget customers (about $1,328 vs. $112 per customer per year), so retention budget should be weighted by value, not headcount.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Finding 2: Support friction is the strongest controllable warning sign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Churn rises from 15.8% (no tickets) to 25.0% (1-2 tickets) to 44.4% (3 or more). Unlike tenure, support experience is something the business can change.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Finding 3: Inactivity predicts churn well before the customer leaves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Churn climbs from 12.5% for customers who ordered in the last 30 days to 32.4% for those inactive 91-180 days. The jump past 90 days suggests a practical intervention window at roughly day 60.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Finding 4: Regional variation exists but is secondary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South shows the highest churn (28.5%) versus West (22.0%). The 6.5 point gap merits a local investigation (delivery times, local competition) but is smaller than the segment and behaviour effects.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Finding 5: The model isolates a manageable, high-value target list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Customers in the High risk tier churned at 53% in the data versus 10% in the Low tier. Of the 975 High tier customers, 454 are still active, representing $128.5K in annual revenue. That list is small enough for a team to act on personally.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Drivers ranked by model weight (standardised coefficients): </w:t>
      </w:r>
      <w:r>
        <w:rPr>
          <w:rFonts w:ascii="Arial" w:cs="Arial" w:eastAsia="Arial" w:hAnsi="Arial"/>
          <w:sz w:val="22"/>
          <w:szCs w:val="22"/>
        </w:rPr>
        <w:t xml:space="preserve">days since last order (+0.60), support tickets (+0.53), tenure (-0.51), email open rate (-0.31), average order value (-0.31), orders in 12 months (-0.26), discount share (+0.16). Heavy reliance on discounts is mildly associated with higher churn, which questions the value of blanket promotions.</w:t>
      </w:r>
    </w:p>
    <w:p>
      <w:pPr>
        <w:pBdr>
          <w:left w:val="single" w:color="2A9D8F" w:sz="24" w:space="8"/>
        </w:pBdr>
        <w:shd w:fill="EAF6F4" w:val="clear"/>
        <w:spacing w:after="160" w:before="120"/>
        <w:ind w:left="2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Caution: these are associations, not proven causes. Before scaling, run a controlled pilot (Recommendation 1) to measure the true effect of outreach.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Strategic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300"/>
        <w:gridCol w:w="1260"/>
        <w:gridCol w:w="16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KPI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Risk-tiered outreach pilot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 454 active High-risk customers; hold out a random 20% as control to measure uplift.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Churn in treated vs. control group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Support escalation rule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Auto-escalate any customer reaching a 3rd ticket in 90 days to a senior agent with a goodwill gesture.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Churn of 3+ ticket customers (44.4% today)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60-day win-back trigger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personalised message when a customer passes 60 days without an order.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 of 60-90 day customers reordering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Re-balance discounts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Replace blanket promotions with targeted offers for Medium/High risk only.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Discount spend per retained customer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South region review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Investigate delivery and service data for the South region.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Low-Med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South churn gap to West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value. </w:t>
      </w:r>
      <w:r>
        <w:rPr>
          <w:rFonts w:ascii="Arial" w:cs="Arial" w:eastAsia="Arial" w:hAnsi="Arial"/>
          <w:sz w:val="22"/>
          <w:szCs w:val="22"/>
        </w:rPr>
        <w:t xml:space="preserve">If outreach retains 25% of the $128.5K at risk, the programme protects about $32K per year. This is a planning assumption, not a result; the pilot in Recommendation 1 will replace it with a measured figure. Costs of outreach and goodwill gestures should be netted off before approving a rollout.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Sequencing. </w:t>
      </w:r>
      <w:r>
        <w:rPr>
          <w:rFonts w:ascii="Arial" w:cs="Arial" w:eastAsia="Arial" w:hAnsi="Arial"/>
          <w:sz w:val="22"/>
          <w:szCs w:val="22"/>
        </w:rPr>
        <w:t xml:space="preserve">Weeks 1-2: build the contact list and control group. Weeks 3-8: run the pilot and the support rule. Week 9: review results on the dashboard. Weeks 10+: scale what works and retrain the model quarterly.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Step-by-Step Approach to Report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from the decision. </w:t>
      </w:r>
      <w:r>
        <w:rPr>
          <w:rFonts w:ascii="Arial" w:cs="Arial" w:eastAsia="Arial" w:hAnsi="Arial"/>
          <w:sz w:val="22"/>
          <w:szCs w:val="22"/>
        </w:rPr>
        <w:t xml:space="preserve">Write the one decision the audience must make before touching any chart.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Rank findings by business impact. </w:t>
      </w:r>
      <w:r>
        <w:rPr>
          <w:rFonts w:ascii="Arial" w:cs="Arial" w:eastAsia="Arial" w:hAnsi="Arial"/>
          <w:sz w:val="22"/>
          <w:szCs w:val="22"/>
        </w:rPr>
        <w:t xml:space="preserve">Keep only findings that change an action; move the rest to an appendix.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Attach a "So what" to every finding. </w:t>
      </w:r>
      <w:r>
        <w:rPr>
          <w:rFonts w:ascii="Arial" w:cs="Arial" w:eastAsia="Arial" w:hAnsi="Arial"/>
          <w:sz w:val="22"/>
          <w:szCs w:val="22"/>
        </w:rPr>
        <w:t xml:space="preserve">Each insight is a three-part line: observation, number, implication.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Quantify in money or customers. </w:t>
      </w:r>
      <w:r>
        <w:rPr>
          <w:rFonts w:ascii="Arial" w:cs="Arial" w:eastAsia="Arial" w:hAnsi="Arial"/>
          <w:sz w:val="22"/>
          <w:szCs w:val="22"/>
        </w:rPr>
        <w:t xml:space="preserve">Percentages alone are abstract; "$128.5K at risk" is memorable.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one chart per message. </w:t>
      </w:r>
      <w:r>
        <w:rPr>
          <w:rFonts w:ascii="Arial" w:cs="Arial" w:eastAsia="Arial" w:hAnsi="Arial"/>
          <w:sz w:val="22"/>
          <w:szCs w:val="22"/>
        </w:rPr>
        <w:t xml:space="preserve">A chart title should state the conclusion ("Budget customers churn at more than twice the Premium rate"), not just the topic.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Disclose assumptions and limits. </w:t>
      </w:r>
      <w:r>
        <w:rPr>
          <w:rFonts w:ascii="Arial" w:cs="Arial" w:eastAsia="Arial" w:hAnsi="Arial"/>
          <w:sz w:val="22"/>
          <w:szCs w:val="22"/>
        </w:rPr>
        <w:t xml:space="preserve">State what the model cannot tell us (causation, unseen factors) to build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 it reproducible. </w:t>
      </w:r>
      <w:r>
        <w:rPr>
          <w:rFonts w:ascii="Arial" w:cs="Arial" w:eastAsia="Arial" w:hAnsi="Arial"/>
          <w:sz w:val="22"/>
          <w:szCs w:val="22"/>
        </w:rPr>
        <w:t xml:space="preserve">Every number traces to a script in the repository; regenerate the report by re-running the pipeline.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Where to place emphasis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with the headline number (24.5% churn, $2.44M revenue base) to establish stakes.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colour sparingly: red/orange only for the high-risk story, neutral tones elsewhere.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contrast (Budget vs. Premium; 0 vs. 3+ tickets) rather than isolated rates.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Finish with the ask: pilot approval, budget, and owner names.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Visualisation and Dashboard Plan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dashboard (src/dashboard.py) is built with Plotly Dash and follows a four-act flow: KPIs, where the problem is, why it happens, and who to act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8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Interactive element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purpose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Big-number tiles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with region/segment filters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Establish stakes instantly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Churn by segment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 chart with % labels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 a bar to drill the priority table into that segment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Show where churn concentrates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Churn vs. recency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Line with markers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Hover for exact rates; responds to filters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Reveal the day-60/90 intervention window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 chart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Diverging horizontal bars (red raises, green lowers churn)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Hover tooltips with plain-English labels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Explain the "why" visually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Revenue trend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 chart with range slider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Drag slider to zoom any period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Connect churn to financial trajectory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 outreach table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Sortable data table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Native sorting and paging; export to CSV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Turn insight into an action list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Core dashboard code (excerpt)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app.layout = html.Div([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dcc.Dropdown(regions, multi=True, id="region"),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dcc.Dropdown(segments, multi=True, id="segment"),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dcc.Graph(id="seg-bar"), dcc.Graph(id="rev-trend"),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@app.callback(Output("seg-bar", "figure"),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Input("region", "value"), Input("segment", "value"))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update(regions, segments):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 = filt(regions, segments)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seg = d.groupby("segment", as_index=False).churned.mean()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px.bar(seg, x="segment", y="churned", text_auto=".0%")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full, runnable script is in the repository. Static PNG versions of the key charts for slides and printed reports are produced by src/make_charts.py using Plotly and Kaleido.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Further interactive ideas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What-if slider: </w:t>
      </w:r>
      <w:r>
        <w:rPr>
          <w:rFonts w:ascii="Arial" w:cs="Arial" w:eastAsia="Arial" w:hAnsi="Arial"/>
          <w:sz w:val="22"/>
          <w:szCs w:val="22"/>
        </w:rPr>
        <w:t xml:space="preserve">let stakeholders change the assumed save rate (10-50%) and see revenue protected update live.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Animated cohort view: </w:t>
      </w:r>
      <w:r>
        <w:rPr>
          <w:rFonts w:ascii="Arial" w:cs="Arial" w:eastAsia="Arial" w:hAnsi="Arial"/>
          <w:sz w:val="22"/>
          <w:szCs w:val="22"/>
        </w:rPr>
        <w:t xml:space="preserve">Plotly animation_frame by month to show churn evolving over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drill-through: </w:t>
      </w:r>
      <w:r>
        <w:rPr>
          <w:rFonts w:ascii="Arial" w:cs="Arial" w:eastAsia="Arial" w:hAnsi="Arial"/>
          <w:sz w:val="22"/>
          <w:szCs w:val="22"/>
        </w:rPr>
        <w:t xml:space="preserve">click a customer ID to see their personal risk factors in a side panel.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Accessibility: </w:t>
      </w:r>
      <w:r>
        <w:rPr>
          <w:rFonts w:ascii="Arial" w:cs="Arial" w:eastAsia="Arial" w:hAnsi="Arial"/>
          <w:sz w:val="22"/>
          <w:szCs w:val="22"/>
        </w:rPr>
        <w:t xml:space="preserve">colour-blind-safe palette, text labels in addition to colour, and a one-sentence caption beneath every chart.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Proposed Presentation Structure and Narrative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25-minute session (18 minutes presenting, 7 minutes discussion). The narrative follows Situation, Complication, Resolution: here is the issue, here is why it is hard, here is what we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100"/>
        <w:gridCol w:w="5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and visual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question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 sentence: "Who is leaving, why, and where should we spend retention budget?"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stakes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KPI cards: 24.5% churn, $2.44M revenue base.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 in one picture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Five-stage process graphic; no jargon.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Where churn hides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Segment bar chart (live dashboard: click Budget).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Value vs. volume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Customers vs. revenue share by segment.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Early warning: support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Churn by ticket band (15.8% to 44.4%).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Early warning: inactivity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Recency line; mark the day-60 and day-90 points.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Why it happens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Driver chart, annotated in plain language.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Who to act 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 list: 454 customers, $128.5K at risk.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Five actions with impact/effort matrix.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Value and risk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What-if slider; limits and assumptions stated openly.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min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 pilot, name owners, agree review date.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tips. </w:t>
      </w:r>
      <w:r>
        <w:rPr>
          <w:rFonts w:ascii="Arial" w:cs="Arial" w:eastAsia="Arial" w:hAnsi="Arial"/>
          <w:sz w:val="22"/>
          <w:szCs w:val="22"/>
        </w:rPr>
        <w:t xml:space="preserve">Spend the first minute on stakes, not method. Demo the dashboard live for slides 4, 7 and 11, with static screenshots as backup. Keep a hidden appendix with model details (AUC, coefficients, data quality) for technical questions.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Communicating Technical Insights to Diverse Audiences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700"/>
        <w:gridCol w:w="2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They care about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communicate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Avoid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Executives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Money, risk, decision needed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with the conclusion and the ask; one page; dollar figures.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 metrics, code, long methodology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Operations / marketing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to do and for whom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Priority list, simple rules ("3rd ticket = escalate"), dashboard access.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Probabilities without a clear action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/ technical team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Validity and reproducibility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Repository, AUC and split method, assumptions, limitations.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Overselling causation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 staff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Relevance to their work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 story with one visual and an analogy.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Acronyms and statistical terms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Techniques for non-technical stakeholders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Translate statistics into plain language. </w:t>
      </w:r>
      <w:r>
        <w:rPr>
          <w:rFonts w:ascii="Arial" w:cs="Arial" w:eastAsia="Arial" w:hAnsi="Arial"/>
          <w:sz w:val="22"/>
          <w:szCs w:val="22"/>
        </w:rPr>
        <w:t xml:space="preserve">Say "customers inactive over 90 days are nearly three times as likely to leave" instead of quoting coefficients.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analogies. </w:t>
      </w:r>
      <w:r>
        <w:rPr>
          <w:rFonts w:ascii="Arial" w:cs="Arial" w:eastAsia="Arial" w:hAnsi="Arial"/>
          <w:sz w:val="22"/>
          <w:szCs w:val="22"/>
        </w:rPr>
        <w:t xml:space="preserve">The risk score works like a weather forecast: it ranks likelihood, it does not promise an outcome.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Show, then tell. </w:t>
      </w:r>
      <w:r>
        <w:rPr>
          <w:rFonts w:ascii="Arial" w:cs="Arial" w:eastAsia="Arial" w:hAnsi="Arial"/>
          <w:sz w:val="22"/>
          <w:szCs w:val="22"/>
        </w:rPr>
        <w:t xml:space="preserve">Display the chart, pause, then state the one takeaway.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 numbers concrete. </w:t>
      </w:r>
      <w:r>
        <w:rPr>
          <w:rFonts w:ascii="Arial" w:cs="Arial" w:eastAsia="Arial" w:hAnsi="Arial"/>
          <w:sz w:val="22"/>
          <w:szCs w:val="22"/>
        </w:rPr>
        <w:t xml:space="preserve">"454 customers, $128.5K" is more actionable than "9% of the base".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 honest about uncertainty. </w:t>
      </w:r>
      <w:r>
        <w:rPr>
          <w:rFonts w:ascii="Arial" w:cs="Arial" w:eastAsia="Arial" w:hAnsi="Arial"/>
          <w:sz w:val="22"/>
          <w:szCs w:val="22"/>
        </w:rPr>
        <w:t xml:space="preserve">Present ranges and assumptions; credibility improves when limits are stated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Invite interaction. </w:t>
      </w:r>
      <w:r>
        <w:rPr>
          <w:rFonts w:ascii="Arial" w:cs="Arial" w:eastAsia="Arial" w:hAnsi="Arial"/>
          <w:sz w:val="22"/>
          <w:szCs w:val="22"/>
        </w:rPr>
        <w:t xml:space="preserve">Letting a manager filter to their own region makes the data personal and builds ownership.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Anticipate questions. </w:t>
      </w:r>
      <w:r>
        <w:rPr>
          <w:rFonts w:ascii="Arial" w:cs="Arial" w:eastAsia="Arial" w:hAnsi="Arial"/>
          <w:sz w:val="22"/>
          <w:szCs w:val="22"/>
        </w:rPr>
        <w:t xml:space="preserve">Prepare answers for "How accurate is it?", "What does it cost?" and "What if we do nothing?"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Limitations and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Associations are not causation; the pilot with a control group is essential before scaling.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model uses behavioural data available today; adding price, delivery performance and competitor data may improve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drift: retrain quarterly and monitor AUC and tier-level churn on the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Fairness and privacy: review that outreach does not disadvantage any group and that customer data handling follows policy.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Appendix A: GitHub Repository Structure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analytics-strategy-report/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 README.md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 requirements.txt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 .gitignore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 src/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|-- generate_data.py   # synthetic data (swap for your own)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|-- analysis.py        # segmentation + model + risk scoring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|-- dashboard.py       # Plotly Dash interactive dashboard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`-- make_charts.py     # static PNG export for slides/report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 data/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|-- raw/               # customers.csv, monthly.csv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`-- processed/         # model outputs and summary tables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 docs/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   `-- Strategic_Report_and_Storyboard.docx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|-- notebooks/             # optional exploratory work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`-- assets/                # exported charts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How to run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-m venv .venv &amp;&amp; source .venv/bin/activate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src/generate_data.py   # or place your own data/raw/customers.csv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src/analysis.py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src/dashboard.py       # open http://127.0.0.1:8050</w:t>
      </w:r>
    </w:p>
    <w:p>
      <w:pPr>
        <w:shd w:fill="F3F4F6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src/make_charts.py     # optional: static PNGs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Customer Retention Analytics | Strategic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9D8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Report and Presentation Storyboard</dc:title>
  <dc:creator>Analytics Project</dc:creator>
  <cp:lastModifiedBy>Un-named</cp:lastModifiedBy>
  <cp:revision>1</cp:revision>
  <dcterms:created xsi:type="dcterms:W3CDTF">2026-10-04T10:41:08.112Z</dcterms:created>
  <dcterms:modified xsi:type="dcterms:W3CDTF">2026-10-04T10:41:08.112Z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