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CivicPulse — BBMP Grievance Intelligence</w:t>
      </w:r>
    </w:p>
    <w:p>
      <w:r>
        <w:t>Ward-wise Civic Demand, Grievance Trends &amp; Municipal Decision Analytics</w:t>
      </w:r>
    </w:p>
    <w:p>
      <w:pPr>
        <w:pStyle w:val="Heading1"/>
      </w:pPr>
      <w:r>
        <w:t>Executive Summary</w:t>
      </w:r>
    </w:p>
    <w:p>
      <w:r>
        <w:t>This project analyzed 639,674 BBMP grievance records from 2020–2024. The dominant complaint category was Electrical with 267,990 records. The most complaint-heavy ward was Jnanabharathi Ward with 15,481 cases.</w:t>
      </w:r>
    </w:p>
    <w:p>
      <w:pPr>
        <w:pStyle w:val="Heading1"/>
      </w:pPr>
      <w:r>
        <w:t>Key KPI Snapshot</w:t>
      </w:r>
    </w:p>
    <w:p>
      <w:r>
        <w:t>Total grievances: 639,674</w:t>
      </w:r>
    </w:p>
    <w:p>
      <w:r>
        <w:t>Unique wards: 198</w:t>
      </w:r>
    </w:p>
    <w:p>
      <w:r>
        <w:t>Unique categories: 32</w:t>
      </w:r>
    </w:p>
    <w:p>
      <w:r>
        <w:t>Unique subcategories: 151</w:t>
      </w:r>
    </w:p>
    <w:p>
      <w:r>
        <w:t>Top category: Electrical</w:t>
      </w:r>
    </w:p>
    <w:p>
      <w:r>
        <w:t>Top ward: Jnanabharathi Ward</w:t>
      </w:r>
    </w:p>
    <w:p>
      <w:r>
        <w:t>ML clusters: 2</w:t>
      </w:r>
    </w:p>
    <w:p>
      <w:r>
        <w:t>Silhouette score: 0.2125</w:t>
      </w:r>
    </w:p>
    <w:p>
      <w:pPr>
        <w:pStyle w:val="Heading1"/>
      </w:pPr>
      <w:r>
        <w:t>Analytical Interpretation</w:t>
      </w:r>
    </w:p>
    <w:p>
      <w:r>
        <w:t>Electrical complaints dominate the grievance profile, followed by solid waste and road maintenance complaints. This indicates recurring municipal service issues with both urban infrastructure and civic maintenance implications.</w:t>
      </w:r>
    </w:p>
    <w:p>
      <w:r>
        <w:t>Ward demand is unevenly distributed. High-demand wards such as Jnanabharathi Ward and Rajarajeshwari Nagar show sustained complaint concentration, suggesting the need for ward-level monitoring and prioritization.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