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4968"/>
        <w:gridCol w:w="4968"/>
      </w:tblGrid>
      <w:tr>
        <w:tc>
          <w:tcPr>
            <w:tcW w:type="dxa" w:w="2880"/>
            <w:shd w:fill="F2F2F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21"/>
              </w:rPr>
              <w:t>Date</w:t>
            </w:r>
          </w:p>
        </w:tc>
        <w:tc>
          <w:tcPr>
            <w:tcW w:type="dxa" w:w="691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1"/>
              </w:rPr>
              <w:t>03 October 2026</w:t>
            </w:r>
          </w:p>
        </w:tc>
      </w:tr>
      <w:tr>
        <w:tc>
          <w:tcPr>
            <w:tcW w:type="dxa" w:w="2880"/>
            <w:shd w:fill="F2F2F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21"/>
              </w:rPr>
              <w:t>Team ID</w:t>
            </w:r>
          </w:p>
        </w:tc>
        <w:tc>
          <w:tcPr>
            <w:tcW w:type="dxa" w:w="691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21"/>
              </w:rPr>
              <w:t>SWTID-2026-7735</w:t>
            </w:r>
          </w:p>
        </w:tc>
      </w:tr>
      <w:tr>
        <w:tc>
          <w:tcPr>
            <w:tcW w:type="dxa" w:w="2880"/>
            <w:shd w:fill="F2F2F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21"/>
              </w:rPr>
              <w:t>Project Name</w:t>
            </w:r>
          </w:p>
        </w:tc>
        <w:tc>
          <w:tcPr>
            <w:tcW w:type="dxa" w:w="691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21"/>
              </w:rPr>
              <w:t>Auto Ticket Classification using Flow Designer</w:t>
            </w:r>
          </w:p>
        </w:tc>
      </w:tr>
      <w:tr>
        <w:tc>
          <w:tcPr>
            <w:tcW w:type="dxa" w:w="2880"/>
            <w:shd w:fill="F2F2F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21"/>
              </w:rPr>
              <w:t>Maximum Marks</w:t>
            </w:r>
          </w:p>
        </w:tc>
        <w:tc>
          <w:tcPr>
            <w:tcW w:type="dxa" w:w="691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1"/>
              </w:rPr>
              <w:t>4 Marks</w:t>
            </w:r>
          </w:p>
        </w:tc>
      </w:tr>
    </w:tbl>
    <w:p/>
    <w:p>
      <w:pPr>
        <w:spacing w:after="40"/>
      </w:pPr>
      <w:r>
        <w:rPr>
          <w:rFonts w:ascii="Arial" w:hAnsi="Arial"/>
          <w:b/>
          <w:color w:val="000000"/>
          <w:sz w:val="26"/>
        </w:rPr>
        <w:t>Requirement Analysis</w:t>
      </w:r>
    </w:p>
    <w:p>
      <w:pPr>
        <w:spacing w:after="240"/>
      </w:pPr>
      <w:r>
        <w:rPr>
          <w:rFonts w:ascii="Arial" w:hAnsi="Arial"/>
          <w:b/>
          <w:color w:val="000000"/>
          <w:sz w:val="32"/>
        </w:rPr>
        <w:t>Customer Journey Map</w:t>
      </w:r>
    </w:p>
    <w:p>
      <w:pPr>
        <w:spacing w:before="280" w:after="80"/>
      </w:pPr>
      <w:r>
        <w:rPr>
          <w:rFonts w:ascii="Arial" w:hAnsi="Arial"/>
          <w:b/>
          <w:color w:val="000000"/>
          <w:sz w:val="26"/>
        </w:rPr>
        <w:t>Customer Journey Map: School IT Support Experience</w:t>
      </w:r>
    </w:p>
    <w:p>
      <w:pPr>
        <w:spacing w:after="120" w:line="276" w:lineRule="auto"/>
      </w:pPr>
      <w:r>
        <w:rPr>
          <w:rFonts w:ascii="Arial" w:hAnsi="Arial"/>
          <w:color w:val="000000"/>
          <w:sz w:val="22"/>
        </w:rPr>
        <w:t>A Customer Journey Map visualizes the complete student and educator journey from initial classroom technology failure to automated classification and resolution.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1811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er_journey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1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595959"/>
          <w:sz w:val="19"/>
        </w:rPr>
        <w:t>Figure 2.1: School IT Incident Automation Customer Journey Map &amp; Emotional Touchpoints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728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Journey Dimension</w:t>
            </w:r>
          </w:p>
        </w:tc>
        <w:tc>
          <w:tcPr>
            <w:tcW w:type="dxa" w:w="1584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Stage 1: Issue Encounter</w:t>
            </w:r>
          </w:p>
        </w:tc>
        <w:tc>
          <w:tcPr>
            <w:tcW w:type="dxa" w:w="1584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Stage 2: Ticket Submission</w:t>
            </w:r>
          </w:p>
        </w:tc>
        <w:tc>
          <w:tcPr>
            <w:tcW w:type="dxa" w:w="1728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Stage 3: Automated Classification</w:t>
            </w:r>
          </w:p>
        </w:tc>
        <w:tc>
          <w:tcPr>
            <w:tcW w:type="dxa" w:w="1584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Stage 4: Caller Notification</w:t>
            </w:r>
          </w:p>
        </w:tc>
        <w:tc>
          <w:tcPr>
            <w:tcW w:type="dxa" w:w="1584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Stage 5: Resolution &amp; Feedback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User Action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Teacher encounters projector failure or Wi-Fi disconnection.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Enters Caller and Short Description in ServiceNow form.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Flow Designer evaluates keywords and updates Category/Subcategory.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Caller receives instant confirmation email with ticket number.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Technician resolves problem; caller confirms restoration.</w:t>
            </w:r>
          </w:p>
        </w:tc>
      </w:tr>
      <w:tr>
        <w:tc>
          <w:tcPr>
            <w:tcW w:type="dxa" w:w="1728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Touchpoints</w:t>
            </w:r>
          </w:p>
        </w:tc>
        <w:tc>
          <w:tcPr>
            <w:tcW w:type="dxa" w:w="1584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Classroom equipment, Laptop Wi-Fi settings.</w:t>
            </w:r>
          </w:p>
        </w:tc>
        <w:tc>
          <w:tcPr>
            <w:tcW w:type="dxa" w:w="1584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ServiceNow Incident Workflow Form (u_incident_workflow).</w:t>
            </w:r>
          </w:p>
        </w:tc>
        <w:tc>
          <w:tcPr>
            <w:tcW w:type="dxa" w:w="1728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ServiceNow Flow Designer Backend Engine.</w:t>
            </w:r>
          </w:p>
        </w:tc>
        <w:tc>
          <w:tcPr>
            <w:tcW w:type="dxa" w:w="1584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ServiceNow Email Engine (sys_email), Caller Inbox.</w:t>
            </w:r>
          </w:p>
        </w:tc>
        <w:tc>
          <w:tcPr>
            <w:tcW w:type="dxa" w:w="1584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ServiceNow Platform record update.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User Thoughts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'Class starts in 5 minutes, I need help immediately!'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'I'll just type what is broken, hope I don't need IT jargon.'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'System classifies my issue in real time without human delay.'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'Great! Confirmation email arrived in my inbox.'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'Classroom tech restored, minimal instructional disruption.'</w:t>
            </w:r>
          </w:p>
        </w:tc>
      </w:tr>
      <w:tr>
        <w:tc>
          <w:tcPr>
            <w:tcW w:type="dxa" w:w="1728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Emotional Curve</w:t>
            </w:r>
          </w:p>
        </w:tc>
        <w:tc>
          <w:tcPr>
            <w:tcW w:type="dxa" w:w="1584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Frustrated / Stressed (2/5)</w:t>
            </w:r>
          </w:p>
        </w:tc>
        <w:tc>
          <w:tcPr>
            <w:tcW w:type="dxa" w:w="1584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Neutral / Hopeful (3/5)</w:t>
            </w:r>
          </w:p>
        </w:tc>
        <w:tc>
          <w:tcPr>
            <w:tcW w:type="dxa" w:w="1728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Reassured (4.5/5)</w:t>
            </w:r>
          </w:p>
        </w:tc>
        <w:tc>
          <w:tcPr>
            <w:tcW w:type="dxa" w:w="1584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Delighted (5/5)</w:t>
            </w:r>
          </w:p>
        </w:tc>
        <w:tc>
          <w:tcPr>
            <w:tcW w:type="dxa" w:w="1584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Satisfied (5/5)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Opportunities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Provide quick links and QR codes on classroom podiums.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Require only Caller &amp; Short Description; auto-classify Category.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Flow Designer matches keywords (WiFi, Projector, Password, Slow).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Automated email action with dynamic data pills.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Auto-route to specialized teams (Network, Hardware).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