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4968"/>
        <w:gridCol w:w="4968"/>
      </w:tblGrid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Date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03 October 2026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Team ID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SWTID-2026-7735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Project Name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Auto Ticket Classification using Flow Designer</w:t>
            </w:r>
          </w:p>
        </w:tc>
      </w:tr>
      <w:tr>
        <w:tc>
          <w:tcPr>
            <w:tcW w:type="dxa" w:w="2880"/>
            <w:shd w:fill="F2F2F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000000"/>
                <w:sz w:val="21"/>
              </w:rPr>
              <w:t>Maximum Marks</w:t>
            </w:r>
          </w:p>
        </w:tc>
        <w:tc>
          <w:tcPr>
            <w:tcW w:type="dxa" w:w="6912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 Marks</w:t>
            </w:r>
          </w:p>
        </w:tc>
      </w:tr>
    </w:tbl>
    <w:p/>
    <w:p>
      <w:pPr>
        <w:spacing w:after="40"/>
      </w:pPr>
      <w:r>
        <w:rPr>
          <w:rFonts w:ascii="Calibri" w:hAnsi="Calibri"/>
          <w:b/>
          <w:color w:val="000000"/>
          <w:sz w:val="26"/>
        </w:rPr>
        <w:t>Project Design Phase</w:t>
      </w:r>
    </w:p>
    <w:p>
      <w:pPr>
        <w:spacing w:after="240"/>
      </w:pPr>
      <w:r>
        <w:rPr>
          <w:rFonts w:ascii="Calibri" w:hAnsi="Calibri"/>
          <w:b/>
          <w:color w:val="000000"/>
          <w:sz w:val="32"/>
        </w:rPr>
        <w:t>Proposed Solution Template</w:t>
      </w:r>
    </w:p>
    <w:p>
      <w:pPr>
        <w:spacing w:before="280" w:after="80"/>
      </w:pPr>
      <w:r>
        <w:rPr>
          <w:rFonts w:ascii="Calibri" w:hAnsi="Calibri"/>
          <w:b/>
          <w:color w:val="000000"/>
          <w:sz w:val="26"/>
        </w:rPr>
        <w:t>Proposed Solution Template:</w:t>
      </w:r>
    </w:p>
    <w:p>
      <w:pPr>
        <w:spacing w:after="120" w:line="276" w:lineRule="auto"/>
      </w:pPr>
      <w:r>
        <w:rPr>
          <w:rFonts w:ascii="Calibri" w:hAnsi="Calibri"/>
          <w:color w:val="000000"/>
          <w:sz w:val="22"/>
        </w:rPr>
        <w:t>Project team shall fill the following information in the proposed solution template to define the solution blueprint.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bottom w:val="single" w:sz="4" w:space="0" w:color="B0B0B0"/>
          <w:left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3312"/>
        <w:gridCol w:w="3312"/>
        <w:gridCol w:w="3312"/>
      </w:tblGrid>
      <w:tr>
        <w:tc>
          <w:tcPr>
            <w:tcW w:type="dxa" w:w="864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S.No.</w:t>
            </w:r>
          </w:p>
        </w:tc>
        <w:tc>
          <w:tcPr>
            <w:tcW w:type="dxa" w:w="3168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Parameter</w:t>
            </w:r>
          </w:p>
        </w:tc>
        <w:tc>
          <w:tcPr>
            <w:tcW w:type="dxa" w:w="6336"/>
            <w:shd w:fill="EAEAE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Description &amp; Solution Specification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Problem Statement (Problem to be solved)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Educational institutions face persistent delays in IT support due to manual incident triage. Incoming tickets for common classroom issues (Wi-Fi, projectors, password resets, slow computers) require IT personnel to manually open, read, categorize, and route tickets.</w:t>
            </w:r>
          </w:p>
        </w:tc>
      </w:tr>
      <w:tr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2</w:t>
            </w:r>
          </w:p>
        </w:tc>
        <w:tc>
          <w:tcPr>
            <w:tcW w:type="dxa" w:w="316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Idea / Solution Description</w:t>
            </w:r>
          </w:p>
        </w:tc>
        <w:tc>
          <w:tcPr>
            <w:tcW w:type="dxa" w:w="633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Implement an automated incident triage and notification system on ServiceNow using Flow Designer. When a student or teacher logs an issue in custom table 'u_incident_workflow', the flow triggers immediately, analyzes the Short Description for defined keywords, updates Category and Subcategory with dependent dictionary integrity, and dispatches an automated confirmation email.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Novelty / Uniqueness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Unlike solutions requiring expensive third-party machine learning APIs or complex scripts, this solution leverages ServiceNow Flow Designer's native no-code logic pills combined with dictionary-level dependent choice filtering.</w:t>
            </w:r>
          </w:p>
        </w:tc>
      </w:tr>
      <w:tr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4</w:t>
            </w:r>
          </w:p>
        </w:tc>
        <w:tc>
          <w:tcPr>
            <w:tcW w:type="dxa" w:w="316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Social Impact / Customer Satisfaction</w:t>
            </w:r>
          </w:p>
        </w:tc>
        <w:tc>
          <w:tcPr>
            <w:tcW w:type="dxa" w:w="633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Eliminates teacher anxiety and classroom instructional delays caused by faulty AV equipment or dropped network connections. Provides callers with peace of mind via automated confirmation emails.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Business Model / ROI Value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Cost Efficiency &amp; Productivity Gain: Eliminates over 250 hours of annual manual triage labor for IT staff. Zero incremental software licensing cost since Flow Designer and Custom Tables are native capabilities.</w:t>
            </w:r>
          </w:p>
        </w:tc>
      </w:tr>
      <w:tr>
        <w:tc>
          <w:tcPr>
            <w:tcW w:type="dxa" w:w="864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6</w:t>
            </w:r>
          </w:p>
        </w:tc>
        <w:tc>
          <w:tcPr>
            <w:tcW w:type="dxa" w:w="3168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Scalability of the Solution</w:t>
            </w:r>
          </w:p>
        </w:tc>
        <w:tc>
          <w:tcPr>
            <w:tcW w:type="dxa" w:w="6336"/>
            <w:shd w:fill="FAFAFA"/>
            <w:tcMar>
              <w:top w:w="80" w:type="dxa"/>
              <w:bottom w:w="80" w:type="dxa"/>
              <w:left w:w="110" w:type="dxa"/>
              <w:right w:w="11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00000"/>
                <w:sz w:val="19"/>
              </w:rPr>
              <w:t>Highly modular and extensible. The Flow Designer architecture allows administrators to easily append new keyword branches (e.g., 'Printer', 'Lab Software') or integrate automatic Assignment Group routing.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