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ED1C24"/>
          <w:sz w:val="48"/>
        </w:rPr>
        <w:t>CareAuth-ROCm: Video Voiceover Script</w:t>
      </w:r>
    </w:p>
    <w:p>
      <w:pPr>
        <w:spacing w:before="0" w:after="240"/>
      </w:pPr>
      <w:r>
        <w:rPr>
          <w:rFonts w:ascii="Calibri" w:hAnsi="Calibri"/>
          <w:color w:val="64748B"/>
          <w:sz w:val="26"/>
        </w:rPr>
        <w:t>Synchronized 5-Minute Narration for Hackathon Demonstration Video</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pPr>
              <w:spacing w:before="40" w:after="40"/>
            </w:pPr>
            <w:r>
              <w:rPr>
                <w:rFonts w:ascii="Calibri" w:hAnsi="Calibri"/>
                <w:b/>
                <w:color w:val="1E293B"/>
                <w:sz w:val="19"/>
              </w:rPr>
              <w:t xml:space="preserve">Project: </w:t>
            </w:r>
            <w:r>
              <w:rPr>
                <w:rFonts w:ascii="Calibri" w:hAnsi="Calibri"/>
                <w:color w:val="1E293B"/>
                <w:sz w:val="19"/>
              </w:rPr>
              <w:t>CareAuth-ROCm (Clinical Prior Authorization)</w:t>
            </w:r>
          </w:p>
        </w:tc>
        <w:tc>
          <w:tcPr>
            <w:tcW w:type="dxa" w:w="4680"/>
            <w:shd w:fill="F8FAFC"/>
            <w:tcMar>
              <w:top w:w="80" w:type="dxa"/>
              <w:bottom w:w="80" w:type="dxa"/>
              <w:left w:w="120" w:type="dxa"/>
              <w:right w:w="120" w:type="dxa"/>
            </w:tcMar>
          </w:tcPr>
          <w:p>
            <w:pPr>
              <w:spacing w:before="40" w:after="40"/>
            </w:pPr>
            <w:r>
              <w:rPr>
                <w:rFonts w:ascii="Calibri" w:hAnsi="Calibri"/>
                <w:b/>
                <w:color w:val="1E293B"/>
                <w:sz w:val="19"/>
              </w:rPr>
              <w:t xml:space="preserve">Video File: </w:t>
            </w:r>
            <w:r>
              <w:rPr>
                <w:rFonts w:ascii="Calibri" w:hAnsi="Calibri"/>
                <w:color w:val="1E293B"/>
                <w:sz w:val="19"/>
              </w:rPr>
              <w:t>Recording 2026-10-17 215926.mp4</w:t>
            </w:r>
          </w:p>
        </w:tc>
      </w:tr>
      <w:tr>
        <w:tc>
          <w:tcPr>
            <w:tcW w:type="dxa" w:w="4680"/>
            <w:shd w:fill="F8FAFC"/>
            <w:tcMar>
              <w:top w:w="80" w:type="dxa"/>
              <w:bottom w:w="80" w:type="dxa"/>
              <w:left w:w="120" w:type="dxa"/>
              <w:right w:w="120" w:type="dxa"/>
            </w:tcMar>
          </w:tcPr>
          <w:p>
            <w:pPr>
              <w:spacing w:before="40" w:after="40"/>
            </w:pPr>
            <w:r>
              <w:rPr>
                <w:rFonts w:ascii="Calibri" w:hAnsi="Calibri"/>
                <w:b/>
                <w:color w:val="1E293B"/>
                <w:sz w:val="19"/>
              </w:rPr>
              <w:t xml:space="preserve">Track: </w:t>
            </w:r>
            <w:r>
              <w:rPr>
                <w:rFonts w:ascii="Calibri" w:hAnsi="Calibri"/>
                <w:color w:val="1E293B"/>
                <w:sz w:val="19"/>
              </w:rPr>
              <w:t>Track 2: Evolus &amp; AMD Instinct™</w:t>
            </w:r>
          </w:p>
        </w:tc>
        <w:tc>
          <w:tcPr>
            <w:tcW w:type="dxa" w:w="4680"/>
            <w:shd w:fill="F8FAFC"/>
            <w:tcMar>
              <w:top w:w="80" w:type="dxa"/>
              <w:bottom w:w="80" w:type="dxa"/>
              <w:left w:w="120" w:type="dxa"/>
              <w:right w:w="120" w:type="dxa"/>
            </w:tcMar>
          </w:tcPr>
          <w:p>
            <w:pPr>
              <w:spacing w:before="40" w:after="40"/>
            </w:pPr>
            <w:r>
              <w:rPr>
                <w:rFonts w:ascii="Calibri" w:hAnsi="Calibri"/>
                <w:b/>
                <w:color w:val="1E293B"/>
                <w:sz w:val="19"/>
              </w:rPr>
              <w:t xml:space="preserve">Total Duration: </w:t>
            </w:r>
            <w:r>
              <w:rPr>
                <w:rFonts w:ascii="Calibri" w:hAnsi="Calibri"/>
                <w:color w:val="1E293B"/>
                <w:sz w:val="19"/>
              </w:rPr>
              <w:t>05:01 (301 Seconds)</w:t>
            </w:r>
          </w:p>
        </w:tc>
      </w:tr>
    </w:tbl>
    <w:p>
      <w:pPr>
        <w:spacing w:after="160"/>
      </w:pPr>
    </w:p>
    <w:p>
      <w:pPr>
        <w:spacing w:before="80" w:after="320"/>
      </w:pPr>
      <w:r>
        <w:rPr>
          <w:rFonts w:ascii="Calibri" w:hAnsi="Calibri"/>
          <w:b/>
          <w:color w:val="ED1C24"/>
          <w:sz w:val="21"/>
        </w:rPr>
        <w:t xml:space="preserve">Recording Instructions: </w:t>
      </w:r>
      <w:r>
        <w:rPr>
          <w:rFonts w:ascii="Calibri" w:hAnsi="Calibri"/>
          <w:color w:val="64748B"/>
          <w:sz w:val="20"/>
        </w:rPr>
        <w:t>Play your 5-minute video on screen and read each speech section aloud when the matching timestamp is reached. The pacing is calibrated to a relaxed, natural speaking rate of ~130–140 words per minute.</w:t>
      </w:r>
    </w:p>
    <w:p>
      <w:pPr>
        <w:pStyle w:val="Heading2"/>
        <w:spacing w:before="160" w:after="120"/>
      </w:pPr>
      <w:r>
        <w:rPr>
          <w:rFonts w:ascii="Arial" w:hAnsi="Arial"/>
          <w:b/>
          <w:color w:val="1E293B"/>
          <w:sz w:val="28"/>
        </w:rPr>
        <w:t>1. Quick Reference Timeline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E293B"/>
            <w:tcMar>
              <w:top w:w="100" w:type="dxa"/>
              <w:bottom w:w="100" w:type="dxa"/>
              <w:left w:w="100" w:type="dxa"/>
              <w:right w:w="100" w:type="dxa"/>
            </w:tcMar>
          </w:tcPr>
          <w:p>
            <w:pPr>
              <w:spacing w:before="40" w:after="40"/>
            </w:pPr>
            <w:r>
              <w:rPr>
                <w:rFonts w:ascii="Calibri" w:hAnsi="Calibri"/>
                <w:b/>
                <w:color w:val="FFFFFF"/>
                <w:sz w:val="18"/>
              </w:rPr>
              <w:t>Timestamp</w:t>
            </w:r>
          </w:p>
        </w:tc>
        <w:tc>
          <w:tcPr>
            <w:tcW w:type="dxa" w:w="1008"/>
            <w:shd w:fill="1E293B"/>
            <w:tcMar>
              <w:top w:w="100" w:type="dxa"/>
              <w:bottom w:w="100" w:type="dxa"/>
              <w:left w:w="100" w:type="dxa"/>
              <w:right w:w="100" w:type="dxa"/>
            </w:tcMar>
          </w:tcPr>
          <w:p>
            <w:pPr>
              <w:spacing w:before="40" w:after="40"/>
            </w:pPr>
            <w:r>
              <w:rPr>
                <w:rFonts w:ascii="Calibri" w:hAnsi="Calibri"/>
                <w:b/>
                <w:color w:val="FFFFFF"/>
                <w:sz w:val="18"/>
              </w:rPr>
              <w:t>Duration</w:t>
            </w:r>
          </w:p>
        </w:tc>
        <w:tc>
          <w:tcPr>
            <w:tcW w:type="dxa" w:w="2880"/>
            <w:shd w:fill="1E293B"/>
            <w:tcMar>
              <w:top w:w="100" w:type="dxa"/>
              <w:bottom w:w="100" w:type="dxa"/>
              <w:left w:w="100" w:type="dxa"/>
              <w:right w:w="100" w:type="dxa"/>
            </w:tcMar>
          </w:tcPr>
          <w:p>
            <w:pPr>
              <w:spacing w:before="40" w:after="40"/>
            </w:pPr>
            <w:r>
              <w:rPr>
                <w:rFonts w:ascii="Calibri" w:hAnsi="Calibri"/>
                <w:b/>
                <w:color w:val="FFFFFF"/>
                <w:sz w:val="18"/>
              </w:rPr>
              <w:t>Visual Screen</w:t>
            </w:r>
          </w:p>
        </w:tc>
        <w:tc>
          <w:tcPr>
            <w:tcW w:type="dxa" w:w="3888"/>
            <w:shd w:fill="1E293B"/>
            <w:tcMar>
              <w:top w:w="100" w:type="dxa"/>
              <w:bottom w:w="100" w:type="dxa"/>
              <w:left w:w="100" w:type="dxa"/>
              <w:right w:w="100" w:type="dxa"/>
            </w:tcMar>
          </w:tcPr>
          <w:p>
            <w:pPr>
              <w:spacing w:before="40" w:after="40"/>
            </w:pPr>
            <w:r>
              <w:rPr>
                <w:rFonts w:ascii="Calibri" w:hAnsi="Calibri"/>
                <w:b/>
                <w:color w:val="FFFFFF"/>
                <w:sz w:val="18"/>
              </w:rPr>
              <w:t>Talking Point</w:t>
            </w:r>
          </w:p>
        </w:tc>
      </w:tr>
      <w:tr>
        <w:tc>
          <w:tcPr>
            <w:tcW w:type="dxa" w:w="1584"/>
            <w:shd w:fill="FFFFFF"/>
            <w:tcMar>
              <w:top w:w="60" w:type="dxa"/>
              <w:bottom w:w="60" w:type="dxa"/>
              <w:left w:w="100" w:type="dxa"/>
              <w:right w:w="100" w:type="dxa"/>
            </w:tcMar>
          </w:tcPr>
          <w:p>
            <w:pPr>
              <w:spacing w:before="40" w:after="40"/>
            </w:pPr>
            <w:r>
              <w:rPr>
                <w:rFonts w:ascii="Calibri" w:hAnsi="Calibri"/>
                <w:b/>
                <w:color w:val="ED1C24"/>
                <w:sz w:val="17"/>
              </w:rPr>
              <w:t>0:00 – 0:18</w:t>
            </w:r>
          </w:p>
        </w:tc>
        <w:tc>
          <w:tcPr>
            <w:tcW w:type="dxa" w:w="1008"/>
            <w:shd w:fill="FFFFFF"/>
            <w:tcMar>
              <w:top w:w="60" w:type="dxa"/>
              <w:bottom w:w="60" w:type="dxa"/>
              <w:left w:w="100" w:type="dxa"/>
              <w:right w:w="100" w:type="dxa"/>
            </w:tcMar>
          </w:tcPr>
          <w:p>
            <w:pPr>
              <w:spacing w:before="40" w:after="40"/>
            </w:pPr>
            <w:r>
              <w:rPr>
                <w:rFonts w:ascii="Calibri" w:hAnsi="Calibri"/>
                <w:color w:val="1E293B"/>
                <w:sz w:val="17"/>
              </w:rPr>
              <w:t>18s</w:t>
            </w:r>
          </w:p>
        </w:tc>
        <w:tc>
          <w:tcPr>
            <w:tcW w:type="dxa" w:w="2880"/>
            <w:shd w:fill="FFFFFF"/>
            <w:tcMar>
              <w:top w:w="60" w:type="dxa"/>
              <w:bottom w:w="60" w:type="dxa"/>
              <w:left w:w="100" w:type="dxa"/>
              <w:right w:w="100" w:type="dxa"/>
            </w:tcMar>
          </w:tcPr>
          <w:p>
            <w:pPr>
              <w:spacing w:before="40" w:after="40"/>
            </w:pPr>
            <w:r>
              <w:rPr>
                <w:rFonts w:ascii="Calibri" w:hAnsi="Calibri"/>
                <w:color w:val="1E293B"/>
                <w:sz w:val="17"/>
              </w:rPr>
              <w:t>Slide 1: Title Screen</w:t>
            </w:r>
          </w:p>
        </w:tc>
        <w:tc>
          <w:tcPr>
            <w:tcW w:type="dxa" w:w="3888"/>
            <w:shd w:fill="FFFFFF"/>
            <w:tcMar>
              <w:top w:w="60" w:type="dxa"/>
              <w:bottom w:w="60" w:type="dxa"/>
              <w:left w:w="100" w:type="dxa"/>
              <w:right w:w="100" w:type="dxa"/>
            </w:tcMar>
          </w:tcPr>
          <w:p>
            <w:pPr>
              <w:spacing w:before="40" w:after="40"/>
            </w:pPr>
            <w:r>
              <w:rPr>
                <w:rFonts w:ascii="Calibri" w:hAnsi="Calibri"/>
                <w:color w:val="1E293B"/>
                <w:sz w:val="17"/>
              </w:rPr>
              <w:t>Introduction: Team Techtors, AMD Instinct MI300X &amp; Evolus</w:t>
            </w:r>
          </w:p>
        </w:tc>
      </w:tr>
      <w:tr>
        <w:tc>
          <w:tcPr>
            <w:tcW w:type="dxa" w:w="1584"/>
            <w:shd w:fill="F8FAFC"/>
            <w:tcMar>
              <w:top w:w="60" w:type="dxa"/>
              <w:bottom w:w="60" w:type="dxa"/>
              <w:left w:w="100" w:type="dxa"/>
              <w:right w:w="100" w:type="dxa"/>
            </w:tcMar>
          </w:tcPr>
          <w:p>
            <w:pPr>
              <w:spacing w:before="40" w:after="40"/>
            </w:pPr>
            <w:r>
              <w:rPr>
                <w:rFonts w:ascii="Calibri" w:hAnsi="Calibri"/>
                <w:b/>
                <w:color w:val="ED1C24"/>
                <w:sz w:val="17"/>
              </w:rPr>
              <w:t>0:18 – 0:36</w:t>
            </w:r>
          </w:p>
        </w:tc>
        <w:tc>
          <w:tcPr>
            <w:tcW w:type="dxa" w:w="1008"/>
            <w:shd w:fill="F8FAFC"/>
            <w:tcMar>
              <w:top w:w="60" w:type="dxa"/>
              <w:bottom w:w="60" w:type="dxa"/>
              <w:left w:w="100" w:type="dxa"/>
              <w:right w:w="100" w:type="dxa"/>
            </w:tcMar>
          </w:tcPr>
          <w:p>
            <w:pPr>
              <w:spacing w:before="40" w:after="40"/>
            </w:pPr>
            <w:r>
              <w:rPr>
                <w:rFonts w:ascii="Calibri" w:hAnsi="Calibri"/>
                <w:color w:val="1E293B"/>
                <w:sz w:val="17"/>
              </w:rPr>
              <w:t>18s</w:t>
            </w:r>
          </w:p>
        </w:tc>
        <w:tc>
          <w:tcPr>
            <w:tcW w:type="dxa" w:w="2880"/>
            <w:shd w:fill="F8FAFC"/>
            <w:tcMar>
              <w:top w:w="60" w:type="dxa"/>
              <w:bottom w:w="60" w:type="dxa"/>
              <w:left w:w="100" w:type="dxa"/>
              <w:right w:w="100" w:type="dxa"/>
            </w:tcMar>
          </w:tcPr>
          <w:p>
            <w:pPr>
              <w:spacing w:before="40" w:after="40"/>
            </w:pPr>
            <w:r>
              <w:rPr>
                <w:rFonts w:ascii="Calibri" w:hAnsi="Calibri"/>
                <w:color w:val="1E293B"/>
                <w:sz w:val="17"/>
              </w:rPr>
              <w:t>Slide 2: Healthcare Crisis</w:t>
            </w:r>
          </w:p>
        </w:tc>
        <w:tc>
          <w:tcPr>
            <w:tcW w:type="dxa" w:w="3888"/>
            <w:shd w:fill="F8FAFC"/>
            <w:tcMar>
              <w:top w:w="60" w:type="dxa"/>
              <w:bottom w:w="60" w:type="dxa"/>
              <w:left w:w="100" w:type="dxa"/>
              <w:right w:w="100" w:type="dxa"/>
            </w:tcMar>
          </w:tcPr>
          <w:p>
            <w:pPr>
              <w:spacing w:before="40" w:after="40"/>
            </w:pPr>
            <w:r>
              <w:rPr>
                <w:rFonts w:ascii="Calibri" w:hAnsi="Calibri"/>
                <w:color w:val="1E293B"/>
                <w:sz w:val="17"/>
              </w:rPr>
              <w:t>The problem: 14h/week paperwork, $31B waste, 3-7 day care delays</w:t>
            </w:r>
          </w:p>
        </w:tc>
      </w:tr>
      <w:tr>
        <w:tc>
          <w:tcPr>
            <w:tcW w:type="dxa" w:w="1584"/>
            <w:shd w:fill="FFFFFF"/>
            <w:tcMar>
              <w:top w:w="60" w:type="dxa"/>
              <w:bottom w:w="60" w:type="dxa"/>
              <w:left w:w="100" w:type="dxa"/>
              <w:right w:w="100" w:type="dxa"/>
            </w:tcMar>
          </w:tcPr>
          <w:p>
            <w:pPr>
              <w:spacing w:before="40" w:after="40"/>
            </w:pPr>
            <w:r>
              <w:rPr>
                <w:rFonts w:ascii="Calibri" w:hAnsi="Calibri"/>
                <w:b/>
                <w:color w:val="ED1C24"/>
                <w:sz w:val="17"/>
              </w:rPr>
              <w:t>0:37 – 0:58</w:t>
            </w:r>
          </w:p>
        </w:tc>
        <w:tc>
          <w:tcPr>
            <w:tcW w:type="dxa" w:w="1008"/>
            <w:shd w:fill="FFFFFF"/>
            <w:tcMar>
              <w:top w:w="60" w:type="dxa"/>
              <w:bottom w:w="60" w:type="dxa"/>
              <w:left w:w="100" w:type="dxa"/>
              <w:right w:w="100" w:type="dxa"/>
            </w:tcMar>
          </w:tcPr>
          <w:p>
            <w:pPr>
              <w:spacing w:before="40" w:after="40"/>
            </w:pPr>
            <w:r>
              <w:rPr>
                <w:rFonts w:ascii="Calibri" w:hAnsi="Calibri"/>
                <w:color w:val="1E293B"/>
                <w:sz w:val="17"/>
              </w:rPr>
              <w:t>21s</w:t>
            </w:r>
          </w:p>
        </w:tc>
        <w:tc>
          <w:tcPr>
            <w:tcW w:type="dxa" w:w="2880"/>
            <w:shd w:fill="FFFFFF"/>
            <w:tcMar>
              <w:top w:w="60" w:type="dxa"/>
              <w:bottom w:w="60" w:type="dxa"/>
              <w:left w:w="100" w:type="dxa"/>
              <w:right w:w="100" w:type="dxa"/>
            </w:tcMar>
          </w:tcPr>
          <w:p>
            <w:pPr>
              <w:spacing w:before="40" w:after="40"/>
            </w:pPr>
            <w:r>
              <w:rPr>
                <w:rFonts w:ascii="Calibri" w:hAnsi="Calibri"/>
                <w:color w:val="1E293B"/>
                <w:sz w:val="17"/>
              </w:rPr>
              <w:t>Coordinator (Case 1)</w:t>
            </w:r>
          </w:p>
        </w:tc>
        <w:tc>
          <w:tcPr>
            <w:tcW w:type="dxa" w:w="3888"/>
            <w:shd w:fill="FFFFFF"/>
            <w:tcMar>
              <w:top w:w="60" w:type="dxa"/>
              <w:bottom w:w="60" w:type="dxa"/>
              <w:left w:w="100" w:type="dxa"/>
              <w:right w:w="100" w:type="dxa"/>
            </w:tcMar>
          </w:tcPr>
          <w:p>
            <w:pPr>
              <w:spacing w:before="40" w:after="40"/>
            </w:pPr>
            <w:r>
              <w:rPr>
                <w:rFonts w:ascii="Calibri" w:hAnsi="Calibri"/>
                <w:color w:val="1E293B"/>
                <w:sz w:val="17"/>
              </w:rPr>
              <w:t>Ramesh Patel, Knee Arthroscopy, 96% auto-approval, 31ms MI300X latency</w:t>
            </w:r>
          </w:p>
        </w:tc>
      </w:tr>
      <w:tr>
        <w:tc>
          <w:tcPr>
            <w:tcW w:type="dxa" w:w="1584"/>
            <w:shd w:fill="F8FAFC"/>
            <w:tcMar>
              <w:top w:w="60" w:type="dxa"/>
              <w:bottom w:w="60" w:type="dxa"/>
              <w:left w:w="100" w:type="dxa"/>
              <w:right w:w="100" w:type="dxa"/>
            </w:tcMar>
          </w:tcPr>
          <w:p>
            <w:pPr>
              <w:spacing w:before="40" w:after="40"/>
            </w:pPr>
            <w:r>
              <w:rPr>
                <w:rFonts w:ascii="Calibri" w:hAnsi="Calibri"/>
                <w:b/>
                <w:color w:val="ED1C24"/>
                <w:sz w:val="17"/>
              </w:rPr>
              <w:t>0:58 – 1:08</w:t>
            </w:r>
          </w:p>
        </w:tc>
        <w:tc>
          <w:tcPr>
            <w:tcW w:type="dxa" w:w="1008"/>
            <w:shd w:fill="F8FAFC"/>
            <w:tcMar>
              <w:top w:w="60" w:type="dxa"/>
              <w:bottom w:w="60" w:type="dxa"/>
              <w:left w:w="100" w:type="dxa"/>
              <w:right w:w="100" w:type="dxa"/>
            </w:tcMar>
          </w:tcPr>
          <w:p>
            <w:pPr>
              <w:spacing w:before="40" w:after="40"/>
            </w:pPr>
            <w:r>
              <w:rPr>
                <w:rFonts w:ascii="Calibri" w:hAnsi="Calibri"/>
                <w:color w:val="1E293B"/>
                <w:sz w:val="17"/>
              </w:rPr>
              <w:t>10s</w:t>
            </w:r>
          </w:p>
        </w:tc>
        <w:tc>
          <w:tcPr>
            <w:tcW w:type="dxa" w:w="2880"/>
            <w:shd w:fill="F8FAFC"/>
            <w:tcMar>
              <w:top w:w="60" w:type="dxa"/>
              <w:bottom w:w="60" w:type="dxa"/>
              <w:left w:w="100" w:type="dxa"/>
              <w:right w:w="100" w:type="dxa"/>
            </w:tcMar>
          </w:tcPr>
          <w:p>
            <w:pPr>
              <w:spacing w:before="40" w:after="40"/>
            </w:pPr>
            <w:r>
              <w:rPr>
                <w:rFonts w:ascii="Calibri" w:hAnsi="Calibri"/>
                <w:color w:val="1E293B"/>
                <w:sz w:val="17"/>
              </w:rPr>
              <w:t>Coordinator (Case 2)</w:t>
            </w:r>
          </w:p>
        </w:tc>
        <w:tc>
          <w:tcPr>
            <w:tcW w:type="dxa" w:w="3888"/>
            <w:shd w:fill="F8FAFC"/>
            <w:tcMar>
              <w:top w:w="60" w:type="dxa"/>
              <w:bottom w:w="60" w:type="dxa"/>
              <w:left w:w="100" w:type="dxa"/>
              <w:right w:w="100" w:type="dxa"/>
            </w:tcMar>
          </w:tcPr>
          <w:p>
            <w:pPr>
              <w:spacing w:before="40" w:after="40"/>
            </w:pPr>
            <w:r>
              <w:rPr>
                <w:rFonts w:ascii="Calibri" w:hAnsi="Calibri"/>
                <w:color w:val="1E293B"/>
                <w:sz w:val="17"/>
              </w:rPr>
              <w:t>Sophia Martinez, Humira, 64% uncertainty gap (missing step therapy)</w:t>
            </w:r>
          </w:p>
        </w:tc>
      </w:tr>
      <w:tr>
        <w:tc>
          <w:tcPr>
            <w:tcW w:type="dxa" w:w="1584"/>
            <w:shd w:fill="FFFFFF"/>
            <w:tcMar>
              <w:top w:w="60" w:type="dxa"/>
              <w:bottom w:w="60" w:type="dxa"/>
              <w:left w:w="100" w:type="dxa"/>
              <w:right w:w="100" w:type="dxa"/>
            </w:tcMar>
          </w:tcPr>
          <w:p>
            <w:pPr>
              <w:spacing w:before="40" w:after="40"/>
            </w:pPr>
            <w:r>
              <w:rPr>
                <w:rFonts w:ascii="Calibri" w:hAnsi="Calibri"/>
                <w:b/>
                <w:color w:val="ED1C24"/>
                <w:sz w:val="17"/>
              </w:rPr>
              <w:t>1:08 – 1:16</w:t>
            </w:r>
          </w:p>
        </w:tc>
        <w:tc>
          <w:tcPr>
            <w:tcW w:type="dxa" w:w="1008"/>
            <w:shd w:fill="FFFFFF"/>
            <w:tcMar>
              <w:top w:w="60" w:type="dxa"/>
              <w:bottom w:w="60" w:type="dxa"/>
              <w:left w:w="100" w:type="dxa"/>
              <w:right w:w="100" w:type="dxa"/>
            </w:tcMar>
          </w:tcPr>
          <w:p>
            <w:pPr>
              <w:spacing w:before="40" w:after="40"/>
            </w:pPr>
            <w:r>
              <w:rPr>
                <w:rFonts w:ascii="Calibri" w:hAnsi="Calibri"/>
                <w:color w:val="1E293B"/>
                <w:sz w:val="17"/>
              </w:rPr>
              <w:t>8s</w:t>
            </w:r>
          </w:p>
        </w:tc>
        <w:tc>
          <w:tcPr>
            <w:tcW w:type="dxa" w:w="2880"/>
            <w:shd w:fill="FFFFFF"/>
            <w:tcMar>
              <w:top w:w="60" w:type="dxa"/>
              <w:bottom w:w="60" w:type="dxa"/>
              <w:left w:w="100" w:type="dxa"/>
              <w:right w:w="100" w:type="dxa"/>
            </w:tcMar>
          </w:tcPr>
          <w:p>
            <w:pPr>
              <w:spacing w:before="40" w:after="40"/>
            </w:pPr>
            <w:r>
              <w:rPr>
                <w:rFonts w:ascii="Calibri" w:hAnsi="Calibri"/>
                <w:color w:val="1E293B"/>
                <w:sz w:val="17"/>
              </w:rPr>
              <w:t>Coordinator (Case 3)</w:t>
            </w:r>
          </w:p>
        </w:tc>
        <w:tc>
          <w:tcPr>
            <w:tcW w:type="dxa" w:w="3888"/>
            <w:shd w:fill="FFFFFF"/>
            <w:tcMar>
              <w:top w:w="60" w:type="dxa"/>
              <w:bottom w:w="60" w:type="dxa"/>
              <w:left w:w="100" w:type="dxa"/>
              <w:right w:w="100" w:type="dxa"/>
            </w:tcMar>
          </w:tcPr>
          <w:p>
            <w:pPr>
              <w:spacing w:before="40" w:after="40"/>
            </w:pPr>
            <w:r>
              <w:rPr>
                <w:rFonts w:ascii="Calibri" w:hAnsi="Calibri"/>
                <w:color w:val="1E293B"/>
                <w:sz w:val="17"/>
              </w:rPr>
              <w:t>Emily Davis, Appeal, 92% approval via LCD Exception §4.2.1</w:t>
            </w:r>
          </w:p>
        </w:tc>
      </w:tr>
      <w:tr>
        <w:tc>
          <w:tcPr>
            <w:tcW w:type="dxa" w:w="1584"/>
            <w:shd w:fill="F8FAFC"/>
            <w:tcMar>
              <w:top w:w="60" w:type="dxa"/>
              <w:bottom w:w="60" w:type="dxa"/>
              <w:left w:w="100" w:type="dxa"/>
              <w:right w:w="100" w:type="dxa"/>
            </w:tcMar>
          </w:tcPr>
          <w:p>
            <w:pPr>
              <w:spacing w:before="40" w:after="40"/>
            </w:pPr>
            <w:r>
              <w:rPr>
                <w:rFonts w:ascii="Calibri" w:hAnsi="Calibri"/>
                <w:b/>
                <w:color w:val="ED1C24"/>
                <w:sz w:val="17"/>
              </w:rPr>
              <w:t>1:17 – 1:57</w:t>
            </w:r>
          </w:p>
        </w:tc>
        <w:tc>
          <w:tcPr>
            <w:tcW w:type="dxa" w:w="1008"/>
            <w:shd w:fill="F8FAFC"/>
            <w:tcMar>
              <w:top w:w="60" w:type="dxa"/>
              <w:bottom w:w="60" w:type="dxa"/>
              <w:left w:w="100" w:type="dxa"/>
              <w:right w:w="100" w:type="dxa"/>
            </w:tcMar>
          </w:tcPr>
          <w:p>
            <w:pPr>
              <w:spacing w:before="40" w:after="40"/>
            </w:pPr>
            <w:r>
              <w:rPr>
                <w:rFonts w:ascii="Calibri" w:hAnsi="Calibri"/>
                <w:color w:val="1E293B"/>
                <w:sz w:val="17"/>
              </w:rPr>
              <w:t>40s</w:t>
            </w:r>
          </w:p>
        </w:tc>
        <w:tc>
          <w:tcPr>
            <w:tcW w:type="dxa" w:w="2880"/>
            <w:shd w:fill="F8FAFC"/>
            <w:tcMar>
              <w:top w:w="60" w:type="dxa"/>
              <w:bottom w:w="60" w:type="dxa"/>
              <w:left w:w="100" w:type="dxa"/>
              <w:right w:w="100" w:type="dxa"/>
            </w:tcMar>
          </w:tcPr>
          <w:p>
            <w:pPr>
              <w:spacing w:before="40" w:after="40"/>
            </w:pPr>
            <w:r>
              <w:rPr>
                <w:rFonts w:ascii="Calibri" w:hAnsi="Calibri"/>
                <w:color w:val="1E293B"/>
                <w:sz w:val="17"/>
              </w:rPr>
              <w:t>Doctor Station</w:t>
            </w:r>
          </w:p>
        </w:tc>
        <w:tc>
          <w:tcPr>
            <w:tcW w:type="dxa" w:w="3888"/>
            <w:shd w:fill="F8FAFC"/>
            <w:tcMar>
              <w:top w:w="60" w:type="dxa"/>
              <w:bottom w:w="60" w:type="dxa"/>
              <w:left w:w="100" w:type="dxa"/>
              <w:right w:w="100" w:type="dxa"/>
            </w:tcMar>
          </w:tcPr>
          <w:p>
            <w:pPr>
              <w:spacing w:before="40" w:after="40"/>
            </w:pPr>
            <w:r>
              <w:rPr>
                <w:rFonts w:ascii="Calibri" w:hAnsi="Calibri"/>
                <w:color w:val="1E293B"/>
                <w:sz w:val="17"/>
              </w:rPr>
              <w:t>Dr. Sarah Jenkins, EHR + MRI review, 1-Click Electronic Attestation</w:t>
            </w:r>
          </w:p>
        </w:tc>
      </w:tr>
      <w:tr>
        <w:tc>
          <w:tcPr>
            <w:tcW w:type="dxa" w:w="1584"/>
            <w:shd w:fill="FFFFFF"/>
            <w:tcMar>
              <w:top w:w="60" w:type="dxa"/>
              <w:bottom w:w="60" w:type="dxa"/>
              <w:left w:w="100" w:type="dxa"/>
              <w:right w:w="100" w:type="dxa"/>
            </w:tcMar>
          </w:tcPr>
          <w:p>
            <w:pPr>
              <w:spacing w:before="40" w:after="40"/>
            </w:pPr>
            <w:r>
              <w:rPr>
                <w:rFonts w:ascii="Calibri" w:hAnsi="Calibri"/>
                <w:b/>
                <w:color w:val="ED1C24"/>
                <w:sz w:val="17"/>
              </w:rPr>
              <w:t>1:58 – 2:10</w:t>
            </w:r>
          </w:p>
        </w:tc>
        <w:tc>
          <w:tcPr>
            <w:tcW w:type="dxa" w:w="1008"/>
            <w:shd w:fill="FFFFFF"/>
            <w:tcMar>
              <w:top w:w="60" w:type="dxa"/>
              <w:bottom w:w="60" w:type="dxa"/>
              <w:left w:w="100" w:type="dxa"/>
              <w:right w:w="100" w:type="dxa"/>
            </w:tcMar>
          </w:tcPr>
          <w:p>
            <w:pPr>
              <w:spacing w:before="40" w:after="40"/>
            </w:pPr>
            <w:r>
              <w:rPr>
                <w:rFonts w:ascii="Calibri" w:hAnsi="Calibri"/>
                <w:color w:val="1E293B"/>
                <w:sz w:val="17"/>
              </w:rPr>
              <w:t>12s</w:t>
            </w:r>
          </w:p>
        </w:tc>
        <w:tc>
          <w:tcPr>
            <w:tcW w:type="dxa" w:w="2880"/>
            <w:shd w:fill="FFFFFF"/>
            <w:tcMar>
              <w:top w:w="60" w:type="dxa"/>
              <w:bottom w:w="60" w:type="dxa"/>
              <w:left w:w="100" w:type="dxa"/>
              <w:right w:w="100" w:type="dxa"/>
            </w:tcMar>
          </w:tcPr>
          <w:p>
            <w:pPr>
              <w:spacing w:before="40" w:after="40"/>
            </w:pPr>
            <w:r>
              <w:rPr>
                <w:rFonts w:ascii="Calibri" w:hAnsi="Calibri"/>
                <w:color w:val="1E293B"/>
                <w:sz w:val="17"/>
              </w:rPr>
              <w:t>Lab Officials Station</w:t>
            </w:r>
          </w:p>
        </w:tc>
        <w:tc>
          <w:tcPr>
            <w:tcW w:type="dxa" w:w="3888"/>
            <w:shd w:fill="FFFFFF"/>
            <w:tcMar>
              <w:top w:w="60" w:type="dxa"/>
              <w:bottom w:w="60" w:type="dxa"/>
              <w:left w:w="100" w:type="dxa"/>
              <w:right w:w="100" w:type="dxa"/>
            </w:tcMar>
          </w:tcPr>
          <w:p>
            <w:pPr>
              <w:spacing w:before="40" w:after="40"/>
            </w:pPr>
            <w:r>
              <w:rPr>
                <w:rFonts w:ascii="Calibri" w:hAnsi="Calibri"/>
                <w:color w:val="1E293B"/>
                <w:sz w:val="17"/>
              </w:rPr>
              <w:t>Alex Chen, diagnostic tests, PACS imaging review &amp; upload</w:t>
            </w:r>
          </w:p>
        </w:tc>
      </w:tr>
      <w:tr>
        <w:tc>
          <w:tcPr>
            <w:tcW w:type="dxa" w:w="1584"/>
            <w:shd w:fill="F8FAFC"/>
            <w:tcMar>
              <w:top w:w="60" w:type="dxa"/>
              <w:bottom w:w="60" w:type="dxa"/>
              <w:left w:w="100" w:type="dxa"/>
              <w:right w:w="100" w:type="dxa"/>
            </w:tcMar>
          </w:tcPr>
          <w:p>
            <w:pPr>
              <w:spacing w:before="40" w:after="40"/>
            </w:pPr>
            <w:r>
              <w:rPr>
                <w:rFonts w:ascii="Calibri" w:hAnsi="Calibri"/>
                <w:b/>
                <w:color w:val="ED1C24"/>
                <w:sz w:val="17"/>
              </w:rPr>
              <w:t>2:11 – 2:19</w:t>
            </w:r>
          </w:p>
        </w:tc>
        <w:tc>
          <w:tcPr>
            <w:tcW w:type="dxa" w:w="1008"/>
            <w:shd w:fill="F8FAFC"/>
            <w:tcMar>
              <w:top w:w="60" w:type="dxa"/>
              <w:bottom w:w="60" w:type="dxa"/>
              <w:left w:w="100" w:type="dxa"/>
              <w:right w:w="100" w:type="dxa"/>
            </w:tcMar>
          </w:tcPr>
          <w:p>
            <w:pPr>
              <w:spacing w:before="40" w:after="40"/>
            </w:pPr>
            <w:r>
              <w:rPr>
                <w:rFonts w:ascii="Calibri" w:hAnsi="Calibri"/>
                <w:color w:val="1E293B"/>
                <w:sz w:val="17"/>
              </w:rPr>
              <w:t>8s</w:t>
            </w:r>
          </w:p>
        </w:tc>
        <w:tc>
          <w:tcPr>
            <w:tcW w:type="dxa" w:w="2880"/>
            <w:shd w:fill="F8FAFC"/>
            <w:tcMar>
              <w:top w:w="60" w:type="dxa"/>
              <w:bottom w:w="60" w:type="dxa"/>
              <w:left w:w="100" w:type="dxa"/>
              <w:right w:w="100" w:type="dxa"/>
            </w:tcMar>
          </w:tcPr>
          <w:p>
            <w:pPr>
              <w:spacing w:before="40" w:after="40"/>
            </w:pPr>
            <w:r>
              <w:rPr>
                <w:rFonts w:ascii="Calibri" w:hAnsi="Calibri"/>
                <w:color w:val="1E293B"/>
                <w:sz w:val="17"/>
              </w:rPr>
              <w:t>Registration Tab</w:t>
            </w:r>
          </w:p>
        </w:tc>
        <w:tc>
          <w:tcPr>
            <w:tcW w:type="dxa" w:w="3888"/>
            <w:shd w:fill="F8FAFC"/>
            <w:tcMar>
              <w:top w:w="60" w:type="dxa"/>
              <w:bottom w:w="60" w:type="dxa"/>
              <w:left w:w="100" w:type="dxa"/>
              <w:right w:w="100" w:type="dxa"/>
            </w:tcMar>
          </w:tcPr>
          <w:p>
            <w:pPr>
              <w:spacing w:before="40" w:after="40"/>
            </w:pPr>
            <w:r>
              <w:rPr>
                <w:rFonts w:ascii="Calibri" w:hAnsi="Calibri"/>
                <w:color w:val="1E293B"/>
                <w:sz w:val="17"/>
              </w:rPr>
              <w:t>Rapid patient intake form &amp; automated pre-authorization routing</w:t>
            </w:r>
          </w:p>
        </w:tc>
      </w:tr>
      <w:tr>
        <w:tc>
          <w:tcPr>
            <w:tcW w:type="dxa" w:w="1584"/>
            <w:shd w:fill="FFFFFF"/>
            <w:tcMar>
              <w:top w:w="60" w:type="dxa"/>
              <w:bottom w:w="60" w:type="dxa"/>
              <w:left w:w="100" w:type="dxa"/>
              <w:right w:w="100" w:type="dxa"/>
            </w:tcMar>
          </w:tcPr>
          <w:p>
            <w:pPr>
              <w:spacing w:before="40" w:after="40"/>
            </w:pPr>
            <w:r>
              <w:rPr>
                <w:rFonts w:ascii="Calibri" w:hAnsi="Calibri"/>
                <w:b/>
                <w:color w:val="ED1C24"/>
                <w:sz w:val="17"/>
              </w:rPr>
              <w:t>2:20 – 2:33</w:t>
            </w:r>
          </w:p>
        </w:tc>
        <w:tc>
          <w:tcPr>
            <w:tcW w:type="dxa" w:w="1008"/>
            <w:shd w:fill="FFFFFF"/>
            <w:tcMar>
              <w:top w:w="60" w:type="dxa"/>
              <w:bottom w:w="60" w:type="dxa"/>
              <w:left w:w="100" w:type="dxa"/>
              <w:right w:w="100" w:type="dxa"/>
            </w:tcMar>
          </w:tcPr>
          <w:p>
            <w:pPr>
              <w:spacing w:before="40" w:after="40"/>
            </w:pPr>
            <w:r>
              <w:rPr>
                <w:rFonts w:ascii="Calibri" w:hAnsi="Calibri"/>
                <w:color w:val="1E293B"/>
                <w:sz w:val="17"/>
              </w:rPr>
              <w:t>13s</w:t>
            </w:r>
          </w:p>
        </w:tc>
        <w:tc>
          <w:tcPr>
            <w:tcW w:type="dxa" w:w="2880"/>
            <w:shd w:fill="FFFFFF"/>
            <w:tcMar>
              <w:top w:w="60" w:type="dxa"/>
              <w:bottom w:w="60" w:type="dxa"/>
              <w:left w:w="100" w:type="dxa"/>
              <w:right w:w="100" w:type="dxa"/>
            </w:tcMar>
          </w:tcPr>
          <w:p>
            <w:pPr>
              <w:spacing w:before="40" w:after="40"/>
            </w:pPr>
            <w:r>
              <w:rPr>
                <w:rFonts w:ascii="Calibri" w:hAnsi="Calibri"/>
                <w:color w:val="1E293B"/>
                <w:sz w:val="17"/>
              </w:rPr>
              <w:t>MyCare Patient Portal</w:t>
            </w:r>
          </w:p>
        </w:tc>
        <w:tc>
          <w:tcPr>
            <w:tcW w:type="dxa" w:w="3888"/>
            <w:shd w:fill="FFFFFF"/>
            <w:tcMar>
              <w:top w:w="60" w:type="dxa"/>
              <w:bottom w:w="60" w:type="dxa"/>
              <w:left w:w="100" w:type="dxa"/>
              <w:right w:w="100" w:type="dxa"/>
            </w:tcMar>
          </w:tcPr>
          <w:p>
            <w:pPr>
              <w:spacing w:before="40" w:after="40"/>
            </w:pPr>
            <w:r>
              <w:rPr>
                <w:rFonts w:ascii="Calibri" w:hAnsi="Calibri"/>
                <w:color w:val="1E293B"/>
                <w:sz w:val="17"/>
              </w:rPr>
              <w:t>6th-grade plain summary, transparent copay, diagnostic MRI scans</w:t>
            </w:r>
          </w:p>
        </w:tc>
      </w:tr>
      <w:tr>
        <w:tc>
          <w:tcPr>
            <w:tcW w:type="dxa" w:w="1584"/>
            <w:shd w:fill="F8FAFC"/>
            <w:tcMar>
              <w:top w:w="60" w:type="dxa"/>
              <w:bottom w:w="60" w:type="dxa"/>
              <w:left w:w="100" w:type="dxa"/>
              <w:right w:w="100" w:type="dxa"/>
            </w:tcMar>
          </w:tcPr>
          <w:p>
            <w:pPr>
              <w:spacing w:before="40" w:after="40"/>
            </w:pPr>
            <w:r>
              <w:rPr>
                <w:rFonts w:ascii="Calibri" w:hAnsi="Calibri"/>
                <w:b/>
                <w:color w:val="ED1C24"/>
                <w:sz w:val="17"/>
              </w:rPr>
              <w:t>2:34 – 2:55</w:t>
            </w:r>
          </w:p>
        </w:tc>
        <w:tc>
          <w:tcPr>
            <w:tcW w:type="dxa" w:w="1008"/>
            <w:shd w:fill="F8FAFC"/>
            <w:tcMar>
              <w:top w:w="60" w:type="dxa"/>
              <w:bottom w:w="60" w:type="dxa"/>
              <w:left w:w="100" w:type="dxa"/>
              <w:right w:w="100" w:type="dxa"/>
            </w:tcMar>
          </w:tcPr>
          <w:p>
            <w:pPr>
              <w:spacing w:before="40" w:after="40"/>
            </w:pPr>
            <w:r>
              <w:rPr>
                <w:rFonts w:ascii="Calibri" w:hAnsi="Calibri"/>
                <w:color w:val="1E293B"/>
                <w:sz w:val="17"/>
              </w:rPr>
              <w:t>21s</w:t>
            </w:r>
          </w:p>
        </w:tc>
        <w:tc>
          <w:tcPr>
            <w:tcW w:type="dxa" w:w="2880"/>
            <w:shd w:fill="F8FAFC"/>
            <w:tcMar>
              <w:top w:w="60" w:type="dxa"/>
              <w:bottom w:w="60" w:type="dxa"/>
              <w:left w:w="100" w:type="dxa"/>
              <w:right w:w="100" w:type="dxa"/>
            </w:tcMar>
          </w:tcPr>
          <w:p>
            <w:pPr>
              <w:spacing w:before="40" w:after="40"/>
            </w:pPr>
            <w:r>
              <w:rPr>
                <w:rFonts w:ascii="Calibri" w:hAnsi="Calibri"/>
                <w:color w:val="1E293B"/>
                <w:sz w:val="17"/>
              </w:rPr>
              <w:t>Evolus Workspace</w:t>
            </w:r>
          </w:p>
        </w:tc>
        <w:tc>
          <w:tcPr>
            <w:tcW w:type="dxa" w:w="3888"/>
            <w:shd w:fill="F8FAFC"/>
            <w:tcMar>
              <w:top w:w="60" w:type="dxa"/>
              <w:bottom w:w="60" w:type="dxa"/>
              <w:left w:w="100" w:type="dxa"/>
              <w:right w:w="100" w:type="dxa"/>
            </w:tcMar>
          </w:tcPr>
          <w:p>
            <w:pPr>
              <w:spacing w:before="40" w:after="40"/>
            </w:pPr>
            <w:r>
              <w:rPr>
                <w:rFonts w:ascii="Calibri" w:hAnsi="Calibri"/>
                <w:color w:val="1E293B"/>
                <w:sz w:val="17"/>
              </w:rPr>
              <w:t>Payer policy libraries, agentic RAG, semantic policy verification</w:t>
            </w:r>
          </w:p>
        </w:tc>
      </w:tr>
      <w:tr>
        <w:tc>
          <w:tcPr>
            <w:tcW w:type="dxa" w:w="1584"/>
            <w:shd w:fill="FFFFFF"/>
            <w:tcMar>
              <w:top w:w="60" w:type="dxa"/>
              <w:bottom w:w="60" w:type="dxa"/>
              <w:left w:w="100" w:type="dxa"/>
              <w:right w:w="100" w:type="dxa"/>
            </w:tcMar>
          </w:tcPr>
          <w:p>
            <w:pPr>
              <w:spacing w:before="40" w:after="40"/>
            </w:pPr>
            <w:r>
              <w:rPr>
                <w:rFonts w:ascii="Calibri" w:hAnsi="Calibri"/>
                <w:b/>
                <w:color w:val="ED1C24"/>
                <w:sz w:val="17"/>
              </w:rPr>
              <w:t>2:56 – 4:33</w:t>
            </w:r>
          </w:p>
        </w:tc>
        <w:tc>
          <w:tcPr>
            <w:tcW w:type="dxa" w:w="1008"/>
            <w:shd w:fill="FFFFFF"/>
            <w:tcMar>
              <w:top w:w="60" w:type="dxa"/>
              <w:bottom w:w="60" w:type="dxa"/>
              <w:left w:w="100" w:type="dxa"/>
              <w:right w:w="100" w:type="dxa"/>
            </w:tcMar>
          </w:tcPr>
          <w:p>
            <w:pPr>
              <w:spacing w:before="40" w:after="40"/>
            </w:pPr>
            <w:r>
              <w:rPr>
                <w:rFonts w:ascii="Calibri" w:hAnsi="Calibri"/>
                <w:color w:val="1E293B"/>
                <w:sz w:val="17"/>
              </w:rPr>
              <w:t>97s</w:t>
            </w:r>
          </w:p>
        </w:tc>
        <w:tc>
          <w:tcPr>
            <w:tcW w:type="dxa" w:w="2880"/>
            <w:shd w:fill="FFFFFF"/>
            <w:tcMar>
              <w:top w:w="60" w:type="dxa"/>
              <w:bottom w:w="60" w:type="dxa"/>
              <w:left w:w="100" w:type="dxa"/>
              <w:right w:w="100" w:type="dxa"/>
            </w:tcMar>
          </w:tcPr>
          <w:p>
            <w:pPr>
              <w:spacing w:before="40" w:after="40"/>
            </w:pPr>
            <w:r>
              <w:rPr>
                <w:rFonts w:ascii="Calibri" w:hAnsi="Calibri"/>
                <w:color w:val="1E293B"/>
                <w:sz w:val="17"/>
              </w:rPr>
              <w:t>AMD Developer Portal</w:t>
            </w:r>
          </w:p>
        </w:tc>
        <w:tc>
          <w:tcPr>
            <w:tcW w:type="dxa" w:w="3888"/>
            <w:shd w:fill="FFFFFF"/>
            <w:tcMar>
              <w:top w:w="60" w:type="dxa"/>
              <w:bottom w:w="60" w:type="dxa"/>
              <w:left w:w="100" w:type="dxa"/>
              <w:right w:w="100" w:type="dxa"/>
            </w:tcMar>
          </w:tcPr>
          <w:p>
            <w:pPr>
              <w:spacing w:before="40" w:after="40"/>
            </w:pPr>
            <w:r>
              <w:rPr>
                <w:rFonts w:ascii="Calibri" w:hAnsi="Calibri"/>
                <w:color w:val="1E293B"/>
                <w:sz w:val="17"/>
              </w:rPr>
              <w:t>Profile Deepak Kannan, ROCm 6.2, MI300X 192GB HBM3, HIPAA privacy</w:t>
            </w:r>
          </w:p>
        </w:tc>
      </w:tr>
      <w:tr>
        <w:tc>
          <w:tcPr>
            <w:tcW w:type="dxa" w:w="1584"/>
            <w:shd w:fill="F8FAFC"/>
            <w:tcMar>
              <w:top w:w="60" w:type="dxa"/>
              <w:bottom w:w="60" w:type="dxa"/>
              <w:left w:w="100" w:type="dxa"/>
              <w:right w:w="100" w:type="dxa"/>
            </w:tcMar>
          </w:tcPr>
          <w:p>
            <w:pPr>
              <w:spacing w:before="40" w:after="40"/>
            </w:pPr>
            <w:r>
              <w:rPr>
                <w:rFonts w:ascii="Calibri" w:hAnsi="Calibri"/>
                <w:b/>
                <w:color w:val="ED1C24"/>
                <w:sz w:val="17"/>
              </w:rPr>
              <w:t>4:34 – 4:40</w:t>
            </w:r>
          </w:p>
        </w:tc>
        <w:tc>
          <w:tcPr>
            <w:tcW w:type="dxa" w:w="1008"/>
            <w:shd w:fill="F8FAFC"/>
            <w:tcMar>
              <w:top w:w="60" w:type="dxa"/>
              <w:bottom w:w="60" w:type="dxa"/>
              <w:left w:w="100" w:type="dxa"/>
              <w:right w:w="100" w:type="dxa"/>
            </w:tcMar>
          </w:tcPr>
          <w:p>
            <w:pPr>
              <w:spacing w:before="40" w:after="40"/>
            </w:pPr>
            <w:r>
              <w:rPr>
                <w:rFonts w:ascii="Calibri" w:hAnsi="Calibri"/>
                <w:color w:val="1E293B"/>
                <w:sz w:val="17"/>
              </w:rPr>
              <w:t>6s</w:t>
            </w:r>
          </w:p>
        </w:tc>
        <w:tc>
          <w:tcPr>
            <w:tcW w:type="dxa" w:w="2880"/>
            <w:shd w:fill="F8FAFC"/>
            <w:tcMar>
              <w:top w:w="60" w:type="dxa"/>
              <w:bottom w:w="60" w:type="dxa"/>
              <w:left w:w="100" w:type="dxa"/>
              <w:right w:w="100" w:type="dxa"/>
            </w:tcMar>
          </w:tcPr>
          <w:p>
            <w:pPr>
              <w:spacing w:before="40" w:after="40"/>
            </w:pPr>
            <w:r>
              <w:rPr>
                <w:rFonts w:ascii="Calibri" w:hAnsi="Calibri"/>
                <w:color w:val="1E293B"/>
                <w:sz w:val="17"/>
              </w:rPr>
              <w:t>AMD Cloud Confirmation</w:t>
            </w:r>
          </w:p>
        </w:tc>
        <w:tc>
          <w:tcPr>
            <w:tcW w:type="dxa" w:w="3888"/>
            <w:shd w:fill="F8FAFC"/>
            <w:tcMar>
              <w:top w:w="60" w:type="dxa"/>
              <w:bottom w:w="60" w:type="dxa"/>
              <w:left w:w="100" w:type="dxa"/>
              <w:right w:w="100" w:type="dxa"/>
            </w:tcMar>
          </w:tcPr>
          <w:p>
            <w:pPr>
              <w:spacing w:before="40" w:after="40"/>
            </w:pPr>
            <w:r>
              <w:rPr>
                <w:rFonts w:ascii="Calibri" w:hAnsi="Calibri"/>
                <w:color w:val="1E293B"/>
                <w:sz w:val="17"/>
              </w:rPr>
              <w:t>Application submitted for AMD Developer Cloud compute validation</w:t>
            </w:r>
          </w:p>
        </w:tc>
      </w:tr>
      <w:tr>
        <w:tc>
          <w:tcPr>
            <w:tcW w:type="dxa" w:w="1584"/>
            <w:shd w:fill="FFFFFF"/>
            <w:tcMar>
              <w:top w:w="60" w:type="dxa"/>
              <w:bottom w:w="60" w:type="dxa"/>
              <w:left w:w="100" w:type="dxa"/>
              <w:right w:w="100" w:type="dxa"/>
            </w:tcMar>
          </w:tcPr>
          <w:p>
            <w:pPr>
              <w:spacing w:before="40" w:after="40"/>
            </w:pPr>
            <w:r>
              <w:rPr>
                <w:rFonts w:ascii="Calibri" w:hAnsi="Calibri"/>
                <w:b/>
                <w:color w:val="ED1C24"/>
                <w:sz w:val="17"/>
              </w:rPr>
              <w:t>4:41 – 5:01</w:t>
            </w:r>
          </w:p>
        </w:tc>
        <w:tc>
          <w:tcPr>
            <w:tcW w:type="dxa" w:w="1008"/>
            <w:shd w:fill="FFFFFF"/>
            <w:tcMar>
              <w:top w:w="60" w:type="dxa"/>
              <w:bottom w:w="60" w:type="dxa"/>
              <w:left w:w="100" w:type="dxa"/>
              <w:right w:w="100" w:type="dxa"/>
            </w:tcMar>
          </w:tcPr>
          <w:p>
            <w:pPr>
              <w:spacing w:before="40" w:after="40"/>
            </w:pPr>
            <w:r>
              <w:rPr>
                <w:rFonts w:ascii="Calibri" w:hAnsi="Calibri"/>
                <w:color w:val="1E293B"/>
                <w:sz w:val="17"/>
              </w:rPr>
              <w:t>20s</w:t>
            </w:r>
          </w:p>
        </w:tc>
        <w:tc>
          <w:tcPr>
            <w:tcW w:type="dxa" w:w="2880"/>
            <w:shd w:fill="FFFFFF"/>
            <w:tcMar>
              <w:top w:w="60" w:type="dxa"/>
              <w:bottom w:w="60" w:type="dxa"/>
              <w:left w:w="100" w:type="dxa"/>
              <w:right w:w="100" w:type="dxa"/>
            </w:tcMar>
          </w:tcPr>
          <w:p>
            <w:pPr>
              <w:spacing w:before="40" w:after="40"/>
            </w:pPr>
            <w:r>
              <w:rPr>
                <w:rFonts w:ascii="Calibri" w:hAnsi="Calibri"/>
                <w:color w:val="1E293B"/>
                <w:sz w:val="17"/>
              </w:rPr>
              <w:t>GitHub Repository</w:t>
            </w:r>
          </w:p>
        </w:tc>
        <w:tc>
          <w:tcPr>
            <w:tcW w:type="dxa" w:w="3888"/>
            <w:shd w:fill="FFFFFF"/>
            <w:tcMar>
              <w:top w:w="60" w:type="dxa"/>
              <w:bottom w:w="60" w:type="dxa"/>
              <w:left w:w="100" w:type="dxa"/>
              <w:right w:w="100" w:type="dxa"/>
            </w:tcMar>
          </w:tcPr>
          <w:p>
            <w:pPr>
              <w:spacing w:before="40" w:after="40"/>
            </w:pPr>
            <w:r>
              <w:rPr>
                <w:rFonts w:ascii="Calibri" w:hAnsi="Calibri"/>
                <w:color w:val="1E293B"/>
                <w:sz w:val="17"/>
              </w:rPr>
              <w:t>Open-source repo, architecture diagrams, ROCm benchmarks, closing</w:t>
            </w:r>
          </w:p>
        </w:tc>
      </w:tr>
    </w:tbl>
    <w:p>
      <w:r>
        <w:br w:type="page"/>
      </w:r>
    </w:p>
    <w:p>
      <w:pPr>
        <w:pStyle w:val="Heading2"/>
        <w:spacing w:before="160" w:after="240"/>
      </w:pPr>
      <w:r>
        <w:rPr>
          <w:rFonts w:ascii="Arial" w:hAnsi="Arial"/>
          <w:b/>
          <w:color w:val="1E293B"/>
          <w:sz w:val="32"/>
        </w:rPr>
        <w:t>2. Complete Spoken Narration Script</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before="40" w:after="40"/>
            </w:pPr>
            <w:r>
              <w:rPr>
                <w:rFonts w:ascii="Arial" w:hAnsi="Arial"/>
                <w:b/>
                <w:color w:val="ED1C24"/>
                <w:sz w:val="22"/>
              </w:rPr>
              <w:t xml:space="preserve">[0:00 – 0:18] </w:t>
            </w:r>
            <w:r>
              <w:rPr>
                <w:rFonts w:ascii="Arial" w:hAnsi="Arial"/>
                <w:b/>
                <w:color w:val="1E293B"/>
                <w:sz w:val="22"/>
              </w:rPr>
              <w:t>Slide 1: Title Screen (18 Seconds)</w:t>
            </w:r>
          </w:p>
        </w:tc>
      </w:tr>
    </w:tbl>
    <w:p>
      <w:pPr>
        <w:spacing w:before="80" w:after="120"/>
      </w:pPr>
      <w:r>
        <w:rPr>
          <w:rFonts w:ascii="Calibri" w:hAnsi="Calibri"/>
          <w:b/>
          <w:color w:val="64748B"/>
          <w:sz w:val="19"/>
        </w:rPr>
        <w:t xml:space="preserve">Visual Cue: </w:t>
      </w:r>
      <w:r>
        <w:rPr>
          <w:rFonts w:ascii="Calibri" w:hAnsi="Calibri"/>
          <w:i/>
          <w:color w:val="64748B"/>
          <w:sz w:val="19"/>
        </w:rPr>
        <w:t>Title presentation slide: CareAuth-ROCm, Team Techtors, Track 2 (Evolus &amp; AMD Instinct).</w:t>
      </w:r>
    </w:p>
    <w:p>
      <w:pPr>
        <w:spacing w:before="40" w:after="280"/>
        <w:ind w:left="288"/>
      </w:pPr>
      <w:r>
        <w:rPr>
          <w:rFonts w:ascii="Georgia" w:hAnsi="Georgia"/>
          <w:color w:val="0F172A"/>
          <w:sz w:val="22"/>
        </w:rPr>
        <w:t>"Hello everyone! Welcome to our demonstration of CareAuth-ROCm, an autonomous, audit-grade Clinical Prior Authorization engine built for Track 2 of the AMD Hackathon. By uniting the high-performance compute of AMD Instinct MI300X accelerators with the intelligent agentic orchestration of Evolus, we transform a multi-day bureaucratic hurdle into a 30-millisecond, clinical-grade approval."</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before="40" w:after="40"/>
            </w:pPr>
            <w:r>
              <w:rPr>
                <w:rFonts w:ascii="Arial" w:hAnsi="Arial"/>
                <w:b/>
                <w:color w:val="ED1C24"/>
                <w:sz w:val="22"/>
              </w:rPr>
              <w:t xml:space="preserve">[0:18 – 0:36] </w:t>
            </w:r>
            <w:r>
              <w:rPr>
                <w:rFonts w:ascii="Arial" w:hAnsi="Arial"/>
                <w:b/>
                <w:color w:val="1E293B"/>
                <w:sz w:val="22"/>
              </w:rPr>
              <w:t>Slide 2: The Healthcare Crisis (18 Seconds)</w:t>
            </w:r>
          </w:p>
        </w:tc>
      </w:tr>
    </w:tbl>
    <w:p>
      <w:pPr>
        <w:spacing w:before="80" w:after="120"/>
      </w:pPr>
      <w:r>
        <w:rPr>
          <w:rFonts w:ascii="Calibri" w:hAnsi="Calibri"/>
          <w:b/>
          <w:color w:val="64748B"/>
          <w:sz w:val="19"/>
        </w:rPr>
        <w:t xml:space="preserve">Visual Cue: </w:t>
      </w:r>
      <w:r>
        <w:rPr>
          <w:rFonts w:ascii="Calibri" w:hAnsi="Calibri"/>
          <w:i/>
          <w:color w:val="64748B"/>
          <w:sz w:val="19"/>
        </w:rPr>
        <w:t>Slide 2: Healthcare crisis stats: 14 hours paperwork, $31B waste, 3-7 day treatment delays.</w:t>
      </w:r>
    </w:p>
    <w:p>
      <w:pPr>
        <w:spacing w:before="40" w:after="280"/>
        <w:ind w:left="288"/>
      </w:pPr>
      <w:r>
        <w:rPr>
          <w:rFonts w:ascii="Georgia" w:hAnsi="Georgia"/>
          <w:color w:val="0F172A"/>
          <w:sz w:val="22"/>
        </w:rPr>
        <w:t>"Today, physicians spend over 14 hours every single week fighting insurance paperwork. Patients wait 3 to 7 days for critical surgeries and medications, leading to delayed treatments and over 31 billion dollars in administrative waste every year. CareAuth-ROCm completely eliminates this friction with local, zero-leak, HIPAA-compliant intelligence powered by AMD ROCm."</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before="40" w:after="40"/>
            </w:pPr>
            <w:r>
              <w:rPr>
                <w:rFonts w:ascii="Arial" w:hAnsi="Arial"/>
                <w:b/>
                <w:color w:val="ED1C24"/>
                <w:sz w:val="22"/>
              </w:rPr>
              <w:t xml:space="preserve">[0:37 – 0:58] </w:t>
            </w:r>
            <w:r>
              <w:rPr>
                <w:rFonts w:ascii="Arial" w:hAnsi="Arial"/>
                <w:b/>
                <w:color w:val="1E293B"/>
                <w:sz w:val="22"/>
              </w:rPr>
              <w:t>Prior-Auth Coordinator Cockpit: Case 1 (Ramesh Patel) (21 Seconds)</w:t>
            </w:r>
          </w:p>
        </w:tc>
      </w:tr>
    </w:tbl>
    <w:p>
      <w:pPr>
        <w:spacing w:before="80" w:after="120"/>
      </w:pPr>
      <w:r>
        <w:rPr>
          <w:rFonts w:ascii="Calibri" w:hAnsi="Calibri"/>
          <w:b/>
          <w:color w:val="64748B"/>
          <w:sz w:val="19"/>
        </w:rPr>
        <w:t xml:space="preserve">Visual Cue: </w:t>
      </w:r>
      <w:r>
        <w:rPr>
          <w:rFonts w:ascii="Calibri" w:hAnsi="Calibri"/>
          <w:i/>
          <w:color w:val="64748B"/>
          <w:sz w:val="19"/>
        </w:rPr>
        <w:t>Web browser at 127.0.0.1:8000. Ramesh Patel, Knee Arthroscopy, 96% Auto-Approval badge, 31ms latency, radar criteria.</w:t>
      </w:r>
    </w:p>
    <w:p>
      <w:pPr>
        <w:spacing w:before="40" w:after="280"/>
        <w:ind w:left="288"/>
      </w:pPr>
      <w:r>
        <w:rPr>
          <w:rFonts w:ascii="Georgia" w:hAnsi="Georgia"/>
          <w:color w:val="0F172A"/>
          <w:sz w:val="22"/>
        </w:rPr>
        <w:t>"Here is our Prior-Auth Coordinator Cockpit. In our first case, Ramesh Patel requires an urgent Knee Arthroscopy. Our engine reads the unstructured EHR and operative notes, matching them against Anthem Blue Cross policy guidelines. Within just 31 milliseconds on an AMD Instinct MI300X running ROCm 6.2 and FlashAttention-2, we achieve a 96% Auto-Approval Confidence Score, validating all clinical criteria in real time."</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before="40" w:after="40"/>
            </w:pPr>
            <w:r>
              <w:rPr>
                <w:rFonts w:ascii="Arial" w:hAnsi="Arial"/>
                <w:b/>
                <w:color w:val="ED1C24"/>
                <w:sz w:val="22"/>
              </w:rPr>
              <w:t xml:space="preserve">[0:58 – 1:08] </w:t>
            </w:r>
            <w:r>
              <w:rPr>
                <w:rFonts w:ascii="Arial" w:hAnsi="Arial"/>
                <w:b/>
                <w:color w:val="1E293B"/>
                <w:sz w:val="22"/>
              </w:rPr>
              <w:t>Coordinator Cockpit: Case 2 (Sophia Martinez) (10 Seconds)</w:t>
            </w:r>
          </w:p>
        </w:tc>
      </w:tr>
    </w:tbl>
    <w:p>
      <w:pPr>
        <w:spacing w:before="80" w:after="120"/>
      </w:pPr>
      <w:r>
        <w:rPr>
          <w:rFonts w:ascii="Calibri" w:hAnsi="Calibri"/>
          <w:b/>
          <w:color w:val="64748B"/>
          <w:sz w:val="19"/>
        </w:rPr>
        <w:t xml:space="preserve">Visual Cue: </w:t>
      </w:r>
      <w:r>
        <w:rPr>
          <w:rFonts w:ascii="Calibri" w:hAnsi="Calibri"/>
          <w:i/>
          <w:color w:val="64748B"/>
          <w:sz w:val="19"/>
        </w:rPr>
        <w:t>Clicking Case 2: Sophia Martinez, Humira, 64% Uncertainty Gap Alert, Amber badge.</w:t>
      </w:r>
    </w:p>
    <w:p>
      <w:pPr>
        <w:spacing w:before="40" w:after="280"/>
        <w:ind w:left="288"/>
      </w:pPr>
      <w:r>
        <w:rPr>
          <w:rFonts w:ascii="Georgia" w:hAnsi="Georgia"/>
          <w:color w:val="0F172A"/>
          <w:sz w:val="22"/>
        </w:rPr>
        <w:t>"In Case 2, Sophia Martinez is prescribed the biologic Humira. Instead of a silent rejection, CareAuth detects a 64% uncertainty gap, flagging that 12 weeks of conservative Methotrexate therapy are unverified, and automatically generates an evidence request for the care team."</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before="40" w:after="40"/>
            </w:pPr>
            <w:r>
              <w:rPr>
                <w:rFonts w:ascii="Arial" w:hAnsi="Arial"/>
                <w:b/>
                <w:color w:val="ED1C24"/>
                <w:sz w:val="22"/>
              </w:rPr>
              <w:t xml:space="preserve">[1:08 – 1:16] </w:t>
            </w:r>
            <w:r>
              <w:rPr>
                <w:rFonts w:ascii="Arial" w:hAnsi="Arial"/>
                <w:b/>
                <w:color w:val="1E293B"/>
                <w:sz w:val="22"/>
              </w:rPr>
              <w:t>Coordinator Cockpit: Case 3 (Emily Davis) (8 Seconds)</w:t>
            </w:r>
          </w:p>
        </w:tc>
      </w:tr>
    </w:tbl>
    <w:p>
      <w:pPr>
        <w:spacing w:before="80" w:after="120"/>
      </w:pPr>
      <w:r>
        <w:rPr>
          <w:rFonts w:ascii="Calibri" w:hAnsi="Calibri"/>
          <w:b/>
          <w:color w:val="64748B"/>
          <w:sz w:val="19"/>
        </w:rPr>
        <w:t xml:space="preserve">Visual Cue: </w:t>
      </w:r>
      <w:r>
        <w:rPr>
          <w:rFonts w:ascii="Calibri" w:hAnsi="Calibri"/>
          <w:i/>
          <w:color w:val="64748B"/>
          <w:sz w:val="19"/>
        </w:rPr>
        <w:t>Clicking Case 3: Emily Davis, Tertiary Appeal, 92% Approved badge.</w:t>
      </w:r>
    </w:p>
    <w:p>
      <w:pPr>
        <w:spacing w:before="40" w:after="280"/>
        <w:ind w:left="288"/>
      </w:pPr>
      <w:r>
        <w:rPr>
          <w:rFonts w:ascii="Georgia" w:hAnsi="Georgia"/>
          <w:color w:val="0F172A"/>
          <w:sz w:val="22"/>
        </w:rPr>
        <w:t>"In Case 3, an appeal for Emily Davis, our Evolus agent retrieves statutory LCD Exception Section 4.2.1, proving drug-induced hepatotoxicity and turning a prior denial into a 92% certified approval."</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before="40" w:after="40"/>
            </w:pPr>
            <w:r>
              <w:rPr>
                <w:rFonts w:ascii="Arial" w:hAnsi="Arial"/>
                <w:b/>
                <w:color w:val="ED1C24"/>
                <w:sz w:val="22"/>
              </w:rPr>
              <w:t xml:space="preserve">[1:17 – 1:57] </w:t>
            </w:r>
            <w:r>
              <w:rPr>
                <w:rFonts w:ascii="Arial" w:hAnsi="Arial"/>
                <w:b/>
                <w:color w:val="1E293B"/>
                <w:sz w:val="22"/>
              </w:rPr>
              <w:t>Doctor Certification Station (Dr. Sarah Jenkins) (40 Seconds)</w:t>
            </w:r>
          </w:p>
        </w:tc>
      </w:tr>
    </w:tbl>
    <w:p>
      <w:pPr>
        <w:spacing w:before="80" w:after="120"/>
      </w:pPr>
      <w:r>
        <w:rPr>
          <w:rFonts w:ascii="Calibri" w:hAnsi="Calibri"/>
          <w:b/>
          <w:color w:val="64748B"/>
          <w:sz w:val="19"/>
        </w:rPr>
        <w:t xml:space="preserve">Visual Cue: </w:t>
      </w:r>
      <w:r>
        <w:rPr>
          <w:rFonts w:ascii="Calibri" w:hAnsi="Calibri"/>
          <w:i/>
          <w:color w:val="64748B"/>
          <w:sz w:val="19"/>
        </w:rPr>
        <w:t>Logging into Doctor Dashboard. Selecting Ramesh Patel. Scrolling EHR note, plain explanation, knee MRI scan, and clicking '1-Click Electronic Attestation'.</w:t>
      </w:r>
    </w:p>
    <w:p>
      <w:pPr>
        <w:spacing w:before="40" w:after="280"/>
        <w:ind w:left="288"/>
      </w:pPr>
      <w:r>
        <w:rPr>
          <w:rFonts w:ascii="Georgia" w:hAnsi="Georgia"/>
          <w:color w:val="0F172A"/>
          <w:sz w:val="22"/>
        </w:rPr>
        <w:t>"Now, let us switch to the Doctor Certification Station for attending physician Dr. Sarah Jenkins. The doctor sees a prioritized queue of pending authorizations. Clicking on Ramesh Patel opens the complete clinical record: the physician note, an AI-synthesized patient explanation, and embedded diagnostic MRI scans. Every single payer criteria is pre-evaluated with transparent citations. With full clinical oversight, the doctor clicks 1-Click Electronic Attestation. The prior authorization is instantly certified, cryptographically logged, and submitted to the payer without manual paperwork."</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before="40" w:after="40"/>
            </w:pPr>
            <w:r>
              <w:rPr>
                <w:rFonts w:ascii="Arial" w:hAnsi="Arial"/>
                <w:b/>
                <w:color w:val="ED1C24"/>
                <w:sz w:val="22"/>
              </w:rPr>
              <w:t xml:space="preserve">[1:58 – 2:10] </w:t>
            </w:r>
            <w:r>
              <w:rPr>
                <w:rFonts w:ascii="Arial" w:hAnsi="Arial"/>
                <w:b/>
                <w:color w:val="1E293B"/>
                <w:sz w:val="22"/>
              </w:rPr>
              <w:t>Lab Officials Station (Alex Chen) (12 Seconds)</w:t>
            </w:r>
          </w:p>
        </w:tc>
      </w:tr>
    </w:tbl>
    <w:p>
      <w:pPr>
        <w:spacing w:before="80" w:after="120"/>
      </w:pPr>
      <w:r>
        <w:rPr>
          <w:rFonts w:ascii="Calibri" w:hAnsi="Calibri"/>
          <w:b/>
          <w:color w:val="64748B"/>
          <w:sz w:val="19"/>
        </w:rPr>
        <w:t xml:space="preserve">Visual Cue: </w:t>
      </w:r>
      <w:r>
        <w:rPr>
          <w:rFonts w:ascii="Calibri" w:hAnsi="Calibri"/>
          <w:i/>
          <w:color w:val="64748B"/>
          <w:sz w:val="19"/>
        </w:rPr>
        <w:t>Switching to Lab Officials Station. Active hospital patients, Left Knee MRI report, clicking 'Inspect Imaging (PACS)'.</w:t>
      </w:r>
    </w:p>
    <w:p>
      <w:pPr>
        <w:spacing w:before="40" w:after="280"/>
        <w:ind w:left="288"/>
      </w:pPr>
      <w:r>
        <w:rPr>
          <w:rFonts w:ascii="Georgia" w:hAnsi="Georgia"/>
          <w:color w:val="0F172A"/>
          <w:sz w:val="22"/>
        </w:rPr>
        <w:t>"Next, in the Lab Officials Station, hospital technicians like Alex Chen monitor diagnostic orders. They can review lab records, upload high-resolution scans, and inspect imaging in the PACS viewer to ensure all diagnostic criteria are attached before final submission."</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before="40" w:after="40"/>
            </w:pPr>
            <w:r>
              <w:rPr>
                <w:rFonts w:ascii="Arial" w:hAnsi="Arial"/>
                <w:b/>
                <w:color w:val="ED1C24"/>
                <w:sz w:val="22"/>
              </w:rPr>
              <w:t xml:space="preserve">[2:11 – 2:19] </w:t>
            </w:r>
            <w:r>
              <w:rPr>
                <w:rFonts w:ascii="Arial" w:hAnsi="Arial"/>
                <w:b/>
                <w:color w:val="1E293B"/>
                <w:sz w:val="22"/>
              </w:rPr>
              <w:t>New Patient Registration Intake (8 Seconds)</w:t>
            </w:r>
          </w:p>
        </w:tc>
      </w:tr>
    </w:tbl>
    <w:p>
      <w:pPr>
        <w:spacing w:before="80" w:after="120"/>
      </w:pPr>
      <w:r>
        <w:rPr>
          <w:rFonts w:ascii="Calibri" w:hAnsi="Calibri"/>
          <w:b/>
          <w:color w:val="64748B"/>
          <w:sz w:val="19"/>
        </w:rPr>
        <w:t xml:space="preserve">Visual Cue: </w:t>
      </w:r>
      <w:r>
        <w:rPr>
          <w:rFonts w:ascii="Calibri" w:hAnsi="Calibri"/>
          <w:i/>
          <w:color w:val="64748B"/>
          <w:sz w:val="19"/>
        </w:rPr>
        <w:t>Registration form: Deepak Kannan, Anthem Blue Cross, severe left knee joint pain &amp; clicking.</w:t>
      </w:r>
    </w:p>
    <w:p>
      <w:pPr>
        <w:spacing w:before="40" w:after="280"/>
        <w:ind w:left="288"/>
      </w:pPr>
      <w:r>
        <w:rPr>
          <w:rFonts w:ascii="Georgia" w:hAnsi="Georgia"/>
          <w:color w:val="0F172A"/>
          <w:sz w:val="22"/>
        </w:rPr>
        <w:t>"Our streamlined Registration Intake allows clinics to register new patients and insurance policies in seconds, immediately queuing an automated pre-authorization check."</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before="40" w:after="40"/>
            </w:pPr>
            <w:r>
              <w:rPr>
                <w:rFonts w:ascii="Arial" w:hAnsi="Arial"/>
                <w:b/>
                <w:color w:val="ED1C24"/>
                <w:sz w:val="22"/>
              </w:rPr>
              <w:t xml:space="preserve">[2:20 – 2:33] </w:t>
            </w:r>
            <w:r>
              <w:rPr>
                <w:rFonts w:ascii="Arial" w:hAnsi="Arial"/>
                <w:b/>
                <w:color w:val="1E293B"/>
                <w:sz w:val="22"/>
              </w:rPr>
              <w:t>MyCare Patient Portal (13 Seconds)</w:t>
            </w:r>
          </w:p>
        </w:tc>
      </w:tr>
    </w:tbl>
    <w:p>
      <w:pPr>
        <w:spacing w:before="80" w:after="120"/>
      </w:pPr>
      <w:r>
        <w:rPr>
          <w:rFonts w:ascii="Calibri" w:hAnsi="Calibri"/>
          <w:b/>
          <w:color w:val="64748B"/>
          <w:sz w:val="19"/>
        </w:rPr>
        <w:t xml:space="preserve">Visual Cue: </w:t>
      </w:r>
      <w:r>
        <w:rPr>
          <w:rFonts w:ascii="Calibri" w:hAnsi="Calibri"/>
          <w:i/>
          <w:color w:val="64748B"/>
          <w:sz w:val="19"/>
        </w:rPr>
        <w:t>Patient portal: Welcome Deepak Kannan / Ramesh Patel. 6th-grade plain summary, $250.00 transparent copay, 'View Scan' button.</w:t>
      </w:r>
    </w:p>
    <w:p>
      <w:pPr>
        <w:spacing w:before="40" w:after="280"/>
        <w:ind w:left="288"/>
      </w:pPr>
      <w:r>
        <w:rPr>
          <w:rFonts w:ascii="Georgia" w:hAnsi="Georgia"/>
          <w:color w:val="0F172A"/>
          <w:sz w:val="22"/>
        </w:rPr>
        <w:t>"Finally, the MyCare Patient Portal puts patients first. Translated into accessible 6th-grade language, patients can see why their procedure was approved, view their MRI scans, and check transparent co-pay estimates without confusing insurance jargon."</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before="40" w:after="40"/>
            </w:pPr>
            <w:r>
              <w:rPr>
                <w:rFonts w:ascii="Arial" w:hAnsi="Arial"/>
                <w:b/>
                <w:color w:val="ED1C24"/>
                <w:sz w:val="22"/>
              </w:rPr>
              <w:t xml:space="preserve">[2:34 – 2:55] </w:t>
            </w:r>
            <w:r>
              <w:rPr>
                <w:rFonts w:ascii="Arial" w:hAnsi="Arial"/>
                <w:b/>
                <w:color w:val="1E293B"/>
                <w:sz w:val="22"/>
              </w:rPr>
              <w:t>Evolus AI Platform Workspace (21 Seconds)</w:t>
            </w:r>
          </w:p>
        </w:tc>
      </w:tr>
    </w:tbl>
    <w:p>
      <w:pPr>
        <w:spacing w:before="80" w:after="120"/>
      </w:pPr>
      <w:r>
        <w:rPr>
          <w:rFonts w:ascii="Calibri" w:hAnsi="Calibri"/>
          <w:b/>
          <w:color w:val="64748B"/>
          <w:sz w:val="19"/>
        </w:rPr>
        <w:t xml:space="preserve">Visual Cue: </w:t>
      </w:r>
      <w:r>
        <w:rPr>
          <w:rFonts w:ascii="Calibri" w:hAnsi="Calibri"/>
          <w:i/>
          <w:color w:val="64748B"/>
          <w:sz w:val="19"/>
        </w:rPr>
        <w:t>Navigating to app.evolus.ai/libraries. Payer Policies library, Medicare, Medicaid, Anthem documents.</w:t>
      </w:r>
    </w:p>
    <w:p>
      <w:pPr>
        <w:spacing w:before="40" w:after="280"/>
        <w:ind w:left="288"/>
      </w:pPr>
      <w:r>
        <w:rPr>
          <w:rFonts w:ascii="Georgia" w:hAnsi="Georgia"/>
          <w:color w:val="0F172A"/>
          <w:sz w:val="22"/>
        </w:rPr>
        <w:t>"Behind the scenes, we leverage the Evolus Enterprise AI platform. Inside Evolus, we structured comprehensive policy libraries covering Medicare, Medicaid, Anthem, and UnitedHealthcare guidelines. Evolus Business Agents handle multi-hop retrieval and semantic citation matching, feeding grounded clinical evidence directly into our local ROCm inference pipeline."</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before="40" w:after="40"/>
            </w:pPr>
            <w:r>
              <w:rPr>
                <w:rFonts w:ascii="Arial" w:hAnsi="Arial"/>
                <w:b/>
                <w:color w:val="ED1C24"/>
                <w:sz w:val="22"/>
              </w:rPr>
              <w:t xml:space="preserve">[2:56 – 4:33] </w:t>
            </w:r>
            <w:r>
              <w:rPr>
                <w:rFonts w:ascii="Arial" w:hAnsi="Arial"/>
                <w:b/>
                <w:color w:val="1E293B"/>
                <w:sz w:val="22"/>
              </w:rPr>
              <w:t>AMD AI Developer Program &amp; Architecture (97 Seconds)</w:t>
            </w:r>
          </w:p>
        </w:tc>
      </w:tr>
    </w:tbl>
    <w:p>
      <w:pPr>
        <w:spacing w:before="80" w:after="120"/>
      </w:pPr>
      <w:r>
        <w:rPr>
          <w:rFonts w:ascii="Calibri" w:hAnsi="Calibri"/>
          <w:b/>
          <w:color w:val="64748B"/>
          <w:sz w:val="19"/>
        </w:rPr>
        <w:t xml:space="preserve">Visual Cue: </w:t>
      </w:r>
      <w:r>
        <w:rPr>
          <w:rFonts w:ascii="Calibri" w:hAnsi="Calibri"/>
          <w:i/>
          <w:color w:val="64748B"/>
          <w:sz w:val="19"/>
        </w:rPr>
        <w:t>AMD AI Developer Program portal: Profile Deepak Kannan, Explorer status, browsing developer documentation and ROCm resources.</w:t>
      </w:r>
    </w:p>
    <w:p>
      <w:pPr>
        <w:spacing w:before="40" w:after="280"/>
        <w:ind w:left="288"/>
      </w:pPr>
      <w:r>
        <w:rPr>
          <w:rFonts w:ascii="Georgia" w:hAnsi="Georgia"/>
          <w:color w:val="0F172A"/>
          <w:sz w:val="22"/>
        </w:rPr>
        <w:t>"Now, looking at our core hardware foundation: here is our verified profile in the AMD AI Developer Program. We built CareAuth-ROCm specifically optimized for the AMD AI ecosystem. Utilizing ROCm 6.2, HIP-accelerated kernels, and FlashAttention-2 on AMD Instinct MI300X GPUs, we achieved exceptional token throughput and sub-35 millisecond latency. The MI300X features 192 Gigabytes of high-bandwidth HBM3 memory with 5.3 terabytes per second of memory bandwidth. This massive memory capacity allows us to host large clinical language models and multi-modal vision encoders completely on-premise. This is critical for healthcare because patient health information never leaves hospital boundaries—guaranteeing 100% HIPAA privacy, zero data leakage, and sovereign enterprise security. Here we are exploring the AMD developer documentation, tools, and ROCm libraries that power our high-throughput deployment."</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before="40" w:after="40"/>
            </w:pPr>
            <w:r>
              <w:rPr>
                <w:rFonts w:ascii="Arial" w:hAnsi="Arial"/>
                <w:b/>
                <w:color w:val="ED1C24"/>
                <w:sz w:val="22"/>
              </w:rPr>
              <w:t xml:space="preserve">[4:34 – 4:40] </w:t>
            </w:r>
            <w:r>
              <w:rPr>
                <w:rFonts w:ascii="Arial" w:hAnsi="Arial"/>
                <w:b/>
                <w:color w:val="1E293B"/>
                <w:sz w:val="22"/>
              </w:rPr>
              <w:t>AMD Developer Cloud Credits Confirmation (6 Seconds)</w:t>
            </w:r>
          </w:p>
        </w:tc>
      </w:tr>
    </w:tbl>
    <w:p>
      <w:pPr>
        <w:spacing w:before="80" w:after="120"/>
      </w:pPr>
      <w:r>
        <w:rPr>
          <w:rFonts w:ascii="Calibri" w:hAnsi="Calibri"/>
          <w:b/>
          <w:color w:val="64748B"/>
          <w:sz w:val="19"/>
        </w:rPr>
        <w:t xml:space="preserve">Visual Cue: </w:t>
      </w:r>
      <w:r>
        <w:rPr>
          <w:rFonts w:ascii="Calibri" w:hAnsi="Calibri"/>
          <w:i/>
          <w:color w:val="64748B"/>
          <w:sz w:val="19"/>
        </w:rPr>
        <w:t>AMD Developer Cloud confirmation: 'Thank You — AMD Developer Cloud is in High Demand! ... submitted for account validation.'</w:t>
      </w:r>
    </w:p>
    <w:p>
      <w:pPr>
        <w:spacing w:before="40" w:after="280"/>
        <w:ind w:left="288"/>
      </w:pPr>
      <w:r>
        <w:rPr>
          <w:rFonts w:ascii="Georgia" w:hAnsi="Georgia"/>
          <w:color w:val="0F172A"/>
          <w:sz w:val="22"/>
        </w:rPr>
        <w:t>"We have also submitted our application for dedicated compute access on the AMD Developer Cloud, ensuring seamless scalability as we expand across multi-hospital networks."</w:t>
      </w:r>
    </w:p>
    <w:tbl>
      <w:tblPr>
        <w:tblW w:type="auto" w:w="0"/>
        <w:jc w:val="center"/>
        <w:tblLayout w:type="fixed"/>
        <w:tblLook w:firstColumn="1" w:firstRow="1" w:lastColumn="0" w:lastRow="0" w:noHBand="0" w:noVBand="1" w:val="04A0"/>
      </w:tblPr>
      <w:tblGrid>
        <w:gridCol w:w="9360"/>
      </w:tblGrid>
      <w:tr>
        <w:tc>
          <w:tcPr>
            <w:tcW w:type="dxa" w:w="9360"/>
            <w:shd w:fill="F1F5F9"/>
            <w:tcMar>
              <w:top w:w="80" w:type="dxa"/>
              <w:bottom w:w="80" w:type="dxa"/>
              <w:left w:w="120" w:type="dxa"/>
              <w:right w:w="120" w:type="dxa"/>
            </w:tcMar>
          </w:tcPr>
          <w:p>
            <w:pPr>
              <w:spacing w:before="40" w:after="40"/>
            </w:pPr>
            <w:r>
              <w:rPr>
                <w:rFonts w:ascii="Arial" w:hAnsi="Arial"/>
                <w:b/>
                <w:color w:val="ED1C24"/>
                <w:sz w:val="22"/>
              </w:rPr>
              <w:t xml:space="preserve">[4:41 – 5:01] </w:t>
            </w:r>
            <w:r>
              <w:rPr>
                <w:rFonts w:ascii="Arial" w:hAnsi="Arial"/>
                <w:b/>
                <w:color w:val="1E293B"/>
                <w:sz w:val="22"/>
              </w:rPr>
              <w:t>GitHub Repository &amp; Conclusion (20 Seconds)</w:t>
            </w:r>
          </w:p>
        </w:tc>
      </w:tr>
    </w:tbl>
    <w:p>
      <w:pPr>
        <w:spacing w:before="80" w:after="120"/>
      </w:pPr>
      <w:r>
        <w:rPr>
          <w:rFonts w:ascii="Calibri" w:hAnsi="Calibri"/>
          <w:b/>
          <w:color w:val="64748B"/>
          <w:sz w:val="19"/>
        </w:rPr>
        <w:t xml:space="preserve">Visual Cue: </w:t>
      </w:r>
      <w:r>
        <w:rPr>
          <w:rFonts w:ascii="Calibri" w:hAnsi="Calibri"/>
          <w:i/>
          <w:color w:val="64748B"/>
          <w:sz w:val="19"/>
        </w:rPr>
        <w:t>github.com/deepak0kannan/CareAuth-ROCm. Repository files, README architecture diagram, ROCm scripts, MIT license.</w:t>
      </w:r>
    </w:p>
    <w:p>
      <w:pPr>
        <w:spacing w:before="40" w:after="280"/>
        <w:ind w:left="288"/>
      </w:pPr>
      <w:r>
        <w:rPr>
          <w:rFonts w:ascii="Georgia" w:hAnsi="Georgia"/>
          <w:color w:val="0F172A"/>
          <w:sz w:val="22"/>
        </w:rPr>
        <w:t>"All of our code, Docker configurations, ROCm optimization scripts, and benchmarks are open-source on GitHub at deepak0kannan/CareAuth-ROCm. CareAuth-ROCm demonstrates how AMD Instinct accelerators and Evolus AI can revolutionize healthcare administration—protecting patients, empowering doctors, and saving billions. Thank you!"</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AMD Hackathon — Track 2: Clinical Prior Authorization with Evolus &amp; AMD Instinct™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CareAuth-ROCm | 5-Minute Video Narration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8C96A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8C96A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