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t xml:space="preserve">STATISTICAL ANALYSIS PLAN</w:t>
      </w:r>
    </w:p>
    <w:p>
      <w:pPr>
        <w:spacing w:after="280"/>
        <w:jc w:val="center"/>
      </w:pPr>
      <w:r>
        <w:rPr>
          <w:b/>
          <w:bCs/>
        </w:rPr>
        <w:t xml:space="preserve">Factors associated with intraoperative conversion during TAPP repair of ventral hernia: a prospective observational cohort study</w:t>
      </w:r>
    </w:p>
    <w:p>
      <w:pPr>
        <w:pStyle w:val="Heading1"/>
        <w:spacing w:after="140" w:before="280"/>
      </w:pPr>
      <w:r>
        <w:t xml:space="preserve">Section 1 - Objectives as Answerable Questions</w:t>
      </w:r>
    </w:p>
    <w:p>
      <w:pPr>
        <w:pStyle w:val="Heading2"/>
        <w:spacing w:after="140" w:before="280"/>
      </w:pPr>
      <w:r>
        <w:t xml:space="preserve">Aim</w:t>
      </w:r>
    </w:p>
    <w:p>
      <w:pPr>
        <w:spacing w:after="140"/>
      </w:pPr>
      <w:r>
        <w:t xml:space="preserve">To determine the rate of intraoperative conversion from TAPP to an alternative procedure (IPOM, TARM, TAR or open repair) in adults undergoing elective TAPP ventral hernia repair, and to identify patient, hernia and surgeon related factors associated with conversion and its short term postoperative consequences.</w:t>
      </w:r>
    </w:p>
    <w:p>
      <w:pPr>
        <w:pStyle w:val="Heading2"/>
        <w:spacing w:after="140" w:before="280"/>
      </w:pPr>
      <w:r>
        <w:t xml:space="preserve">Primary objective(s)</w:t>
      </w:r>
    </w:p>
    <w:p>
      <w:pPr>
        <w:pStyle w:val="ListParagraph"/>
        <w:numPr>
          <w:ilvl w:val="0"/>
          <w:numId w:val="1"/>
        </w:numPr>
        <w:spacing w:after="100"/>
      </w:pPr>
      <w:r>
        <w:rPr>
          <w:b/>
          <w:bCs/>
        </w:rPr>
        <w:t xml:space="preserve">P1: </w:t>
      </w:r>
      <w:r>
        <w:t xml:space="preserve">What proportion of patients undergoing elective TAPP ventral hernia repair require intraoperative conversion to an alternative procedure (IPOM, TARM, TAR or open repair)?</w:t>
      </w:r>
    </w:p>
    <w:p>
      <w:pPr>
        <w:pStyle w:val="Heading2"/>
        <w:spacing w:after="140" w:before="280"/>
      </w:pPr>
      <w:r>
        <w:t xml:space="preserve">Secondary objectives</w:t>
      </w:r>
    </w:p>
    <w:p>
      <w:pPr>
        <w:pStyle w:val="ListParagraph"/>
        <w:numPr>
          <w:ilvl w:val="0"/>
          <w:numId w:val="1"/>
        </w:numPr>
        <w:spacing w:after="100"/>
      </w:pPr>
      <w:r>
        <w:rPr>
          <w:b/>
          <w:bCs/>
        </w:rPr>
        <w:t xml:space="preserve">S1: </w:t>
      </w:r>
      <w:r>
        <w:t xml:space="preserve">Are patient related and hernia related factors, specifically body mass index, previous abdominal surgery, hernia defect size, EHS classification and hernia type, associated with intraoperative conversion from TAPP, after accounting for age, ASA grade, comorbidity burden and surgical approach?</w:t>
      </w:r>
    </w:p>
    <w:p>
      <w:pPr>
        <w:pStyle w:val="ListParagraph"/>
        <w:numPr>
          <w:ilvl w:val="0"/>
          <w:numId w:val="1"/>
        </w:numPr>
        <w:spacing w:after="100"/>
      </w:pPr>
      <w:r>
        <w:rPr>
          <w:b/>
          <w:bCs/>
        </w:rPr>
        <w:t xml:space="preserve">S2: </w:t>
      </w:r>
      <w:r>
        <w:t xml:space="preserve">Is surgeon experience, measured as the number of prior TAPP ventral hernia repairs performed, associated with the likelihood of intraoperative conversion, independent of hernia complexity and surgical approach?</w:t>
      </w:r>
    </w:p>
    <w:p>
      <w:pPr>
        <w:pStyle w:val="ListParagraph"/>
        <w:numPr>
          <w:ilvl w:val="0"/>
          <w:numId w:val="1"/>
        </w:numPr>
        <w:spacing w:after="100"/>
      </w:pPr>
      <w:r>
        <w:rPr>
          <w:b/>
          <w:bCs/>
        </w:rPr>
        <w:t xml:space="preserve">S3: </w:t>
      </w:r>
      <w:r>
        <w:t xml:space="preserve">Do short term postoperative outcomes, namely total operative duration, occurrence of a postoperative complication and length of hospital stay, differ between patients whose TAPP was completed and those who required conversion?</w:t>
      </w:r>
    </w:p>
    <w:p>
      <w:pPr>
        <w:pStyle w:val="Heading1"/>
        <w:spacing w:after="140" w:before="280"/>
      </w:pPr>
      <w:r>
        <w:t xml:space="preserve">Section 2 - Analysis Map</w:t>
      </w:r>
    </w:p>
    <w:p>
      <w:pPr>
        <w:spacing w:after="140"/>
      </w:pPr>
      <w:r>
        <w:rPr>
          <w:i/>
          <w:iCs/>
        </w:rPr>
        <w:t xml:space="preserve">One row per objective. Every question is linked to its test AND to the empty results table it will 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Objective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Outcome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Predictor(s)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Data type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Statistical test -&gt; Table #</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P1 - Rate of intraoperative conversion from TAPP</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 from TAPP, at Intraoperatively, at the point the surgical decision is made, from Structured intraoperative case proforma completed by the operating surgeon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(single-group estimate)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binary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Proportion with 95% CI (Clopper-Pearson exact) -&gt; Table 2</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S1 - Patient and hernia factors associated with conversion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 from TAPP, at Intraoperatively, at the point the surgical decision is made, from Structured intraoperative case proforma completed by the operating surgeon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Body mass index, Previous abdominal surgery, Hernia defect size, EHS hernia classification, Type of hernia, Age, ASA physical status grade, Comorbidity burden, Surgical approach used for TAPP</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binary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Multivariable binary logistic regression, adjusted OR with 95% CI -&gt; Table 3</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S2 - Surgeon experience and conversion risk</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 from TAPP, at Intraoperatively, at the point the surgical decision is made, from Structured intraoperative case proforma completed by the operating surgeon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Surgeon experience, prior TAPP ventral hernia repairs performed, Hernia defect size, Previous abdominal surgery, Surgical approach used for TAPP</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binary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Multivariable binary logistic regression, adjusted OR with 95% CI -&gt; Table 4</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S3 - Postoperative outcomes by conversion status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Short term postoperative outcomes, at Operative duration recorded at surgery; complications and length of stay assessed to 30 days after surgery or at discharge, from Intraoperative and postoperative case proforma, hospital discharge record, Clavien-Dindo classification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 from TAPP</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continuous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Analyse each component of the composite outcome separately, using the test matched to its own data type: operative duration and length of stay as continuous measures, complication occurrence as a binary measure. -&gt; Table 5</w:t>
            </w:r>
          </w:p>
        </w:tc>
      </w:tr>
    </w:tbl>
    <w:p>
      <w:pPr>
        <w:spacing w:after="100" w:before="200"/>
      </w:pPr>
      <w:r>
        <w:rPr>
          <w:b/>
          <w:bCs/>
        </w:rPr>
        <w:t xml:space="preserve">How each outcome is defined.</w:t>
      </w:r>
    </w:p>
    <w:p>
      <w:pPr>
        <w:spacing w:after="100"/>
      </w:pPr>
      <w:r>
        <w:rPr>
          <w:b/>
          <w:bCs/>
        </w:rPr>
        <w:t xml:space="preserve">Intraoperative conversion from TAPP. </w:t>
      </w:r>
      <w:r>
        <w:t xml:space="preserve">Binary determination by the operating surgeon of whether the planned TAPP procedure was converted intraoperatively to an alternative technique, IPOM, TARM, TAR or open repair; conversion is recorded as yes if the planned approach was abandoned for any of these alternatives, no if TAPP was completed as planned. Recorded from Structured intraoperative case proforma completed by the operating surgeon. at Intraoperatively, at the point the surgical decision is made. Reported in Yes / No, reported as a proportion with 95% confidence interval.</w:t>
      </w:r>
    </w:p>
    <w:p>
      <w:pPr>
        <w:spacing w:after="100"/>
      </w:pPr>
      <w:r>
        <w:rPr>
          <w:b/>
          <w:bCs/>
        </w:rPr>
        <w:t xml:space="preserve">Short term postoperative outcomes. </w:t>
      </w:r>
      <w:r>
        <w:t xml:space="preserve">Composite of three prespecified measures compared between patients whose TAPP was completed and those who required conversion: total operative duration timed from skin incision to closure; occurrence of a postoperative complication graded by the Clavien-Dindo classification, with grade II or above counted as a complication, ascertained within 30 days of surgery; and length of hospital stay counted as days from date of surgery to date of discharge. Recorded from Intraoperative and postoperative case proforma, hospital discharge record, Clavien-Dindo classification. at Operative duration recorded at surgery; complications and length of stay assessed to 30 days after surgery or at discharge. Reported in Minutes for duration; Yes / No grade II or above for complications; days for length of stay.</w:t>
      </w:r>
    </w:p>
    <w:p>
      <w:pPr>
        <w:spacing w:after="100" w:before="200"/>
      </w:pPr>
      <w:r>
        <w:rPr>
          <w:b/>
          <w:bCs/>
        </w:rPr>
        <w:t xml:space="preserve">Why each test.</w:t>
      </w:r>
    </w:p>
    <w:p>
      <w:pPr>
        <w:spacing w:after="140"/>
      </w:pPr>
      <w:r>
        <w:t xml:space="preserve">Proportion with 95% CI (Clopper-Pearson exact): One group and one proportion. Exact rather than Wald, because the expected count is usually small.</w:t>
      </w:r>
    </w:p>
    <w:p>
      <w:pPr>
        <w:spacing w:after="140"/>
      </w:pPr>
      <w:r>
        <w:t xml:space="preserve">Multivariable binary logistic regression, adjusted OR with 95% CI: A binary outcome with confounders held constant.</w:t>
      </w:r>
    </w:p>
    <w:p>
      <w:pPr>
        <w:spacing w:after="140"/>
      </w:pPr>
      <w:r>
        <w:t xml:space="preserve">Analyse each component of the composite outcome separately, using the test matched to its own data type: operative duration and length of stay as continuous measures, complication occurrence as a binary measure.: The outcome combines a binary measure (complication occurrence) with two continuous measures (duration, length of stay); no single test applies across all three, so each component is tested individually against conversion status..</w:t>
      </w:r>
    </w:p>
    <w:p>
      <w:pPr>
        <w:spacing w:after="100" w:before="160"/>
      </w:pPr>
      <w:r>
        <w:rPr>
          <w:b/>
          <w:bCs/>
        </w:rPr>
        <w:t xml:space="preserve">Degrees of freedom.</w:t>
      </w:r>
    </w:p>
    <w:p>
      <w:pPr>
        <w:spacing w:after="140"/>
      </w:pPr>
      <w:r>
        <w:t xml:space="preserve">Expected events: 10. At ten events per degree of freedom the model affords 1 predictor, but 9 are named. The adjusted model is therefore declared exploratory here, before the data arrive, rather than discovered at analysis.</w:t>
      </w:r>
    </w:p>
    <w:p>
      <w:pPr>
        <w:spacing w:after="100" w:before="160"/>
      </w:pPr>
      <w:r>
        <w:rPr>
          <w:b/>
          <w:bCs/>
        </w:rPr>
        <w:t xml:space="preserve">Not adjusted for.</w:t>
      </w:r>
    </w:p>
    <w:p>
      <w:pPr>
        <w:spacing w:after="140"/>
      </w:pPr>
      <w:r>
        <w:t xml:space="preserve">Reason for intraoperative conversion is a mediator. Recorded only for converted cases and represents the immediate mechanism by which conversion occurs; it lies on the causal pathway between hernia and patient factors and the conversion decision itself, so using it to predict conversion is circular and it is excluded from every model.</w:t>
      </w:r>
    </w:p>
    <w:p>
      <w:pPr>
        <w:spacing w:after="140"/>
      </w:pPr>
      <w:r>
        <w:t xml:space="preserve">Number of intraoperative peritoneal tears is a mediator. Occurs as part of the intraoperative course that leads directly to the conversion decision and is measured concurrently with, not before, the outcome; conditioning on it when modelling conversion is circular and it is excluded from every model.</w:t>
      </w:r>
    </w:p>
    <w:p>
      <w:pPr>
        <w:spacing w:after="140"/>
      </w:pPr>
      <w:r>
        <w:t xml:space="preserve">Neither enters any model.</w:t>
      </w:r>
    </w:p>
    <w:p>
      <w:pPr>
        <w:spacing w:after="140"/>
      </w:pPr>
      <w:r>
        <w:rPr>
          <w:i/>
          <w:iCs/>
        </w:rPr>
        <w:t xml:space="preserve">Generated from the study specification. Do not edit this document: change the specification and rebuild, or the analysis plan, the case record form and the shell tables will disagree.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pPr>
    </w:pPrDefault>
  </w:docDefaults>
  <w:style w:type="paragraph" w:styleId="Title">
    <w:name w:val="Title"/>
    <w:basedOn w:val="Normal"/>
    <w:next w:val="Normal"/>
    <w:qFormat/>
    <w:rPr>
      <w:rFonts w:ascii="Times New Roman" w:cs="Times New Roman" w:eastAsia="Times New Roman" w:hAnsi="Times New Roman"/>
      <w:b/>
      <w:bCs/>
      <w:color w:val="000000"/>
      <w:sz w:val="24"/>
      <w:szCs w:val="24"/>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rFonts w:ascii="Times New Roman" w:cs="Times New Roman" w:eastAsia="Times New Roman" w:hAnsi="Times New Roman"/>
      <w:b/>
      <w:bCs/>
      <w:color w:val="000000"/>
      <w:sz w:val="24"/>
      <w:szCs w:val="24"/>
    </w:rPr>
  </w:style>
  <w:style w:type="paragraph" w:styleId="Heading5">
    <w:name w:val="Heading 5"/>
    <w:basedOn w:val="Normal"/>
    <w:next w:val="Normal"/>
    <w:qFormat/>
    <w:rPr>
      <w:rFonts w:ascii="Times New Roman" w:cs="Times New Roman" w:eastAsia="Times New Roman" w:hAnsi="Times New Roman"/>
      <w:b/>
      <w:bCs/>
      <w:color w:val="000000"/>
      <w:sz w:val="24"/>
      <w:szCs w:val="24"/>
    </w:rPr>
  </w:style>
  <w:style w:type="paragraph" w:styleId="Heading6">
    <w:name w:val="Heading 6"/>
    <w:basedOn w:val="Normal"/>
    <w:next w:val="Normal"/>
    <w:qFormat/>
    <w:rPr>
      <w:rFonts w:ascii="Times New Roman" w:cs="Times New Roman" w:eastAsia="Times New Roman" w:hAnsi="Times New Roman"/>
      <w:b/>
      <w:bCs/>
      <w:color w:val="000000"/>
      <w:sz w:val="24"/>
      <w:szCs w:val="24"/>
    </w:rPr>
  </w:style>
  <w:style w:type="paragraph" w:styleId="Strong">
    <w:name w:val="Strong"/>
    <w:basedOn w:val="Normal"/>
    <w:next w:val="Normal"/>
    <w:qFormat/>
    <w:rPr>
      <w:rFonts w:ascii="Times New Roman" w:cs="Times New Roman" w:eastAsia="Times New Roman" w:hAnsi="Times New Roman"/>
      <w:b/>
      <w:bCs/>
      <w:color w:val="000000"/>
      <w:sz w:val="24"/>
      <w:szCs w:val="24"/>
    </w:rPr>
  </w:style>
  <w:style w:type="paragraph" w:styleId="ListParagraph">
    <w:name w:val="List Paragraph"/>
    <w:basedOn w:val="Normal"/>
    <w:qFormat/>
    <w:rPr>
      <w:rFonts w:ascii="Times New Roman" w:cs="Times New Roman" w:eastAsia="Times New Roman" w:hAnsi="Times New Roman"/>
      <w:color w:val="000000"/>
      <w:sz w:val="24"/>
      <w:szCs w:val="24"/>
    </w:rPr>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cs="Times New Roman" w:eastAsia="Times New Roman" w:hAnsi="Times New Roman"/>
      <w:color w:val="000000"/>
      <w:sz w:val="24"/>
      <w:szCs w:val="24"/>
    </w:rPr>
  </w:style>
  <w:style w:type="character" w:styleId="FootnoteTextChar">
    <w:name w:val="Footnote Text Char"/>
    <w:basedOn w:val="DefaultParagraphFont"/>
    <w:link w:val="FootnoteText"/>
    <w:uiPriority w:val="99"/>
    <w:semiHidden/>
    <w:unhideWhenUsed/>
    <w:rPr>
      <w:rFonts w:ascii="Times New Roman" w:cs="Times New Roman" w:eastAsia="Times New Roman" w:hAnsi="Times New Roman"/>
      <w:color w:val="000000"/>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rFonts w:ascii="Times New Roman" w:cs="Times New Roman" w:eastAsia="Times New Roman" w:hAnsi="Times New Roman"/>
      <w:color w:val="000000"/>
      <w:sz w:val="24"/>
      <w:szCs w:val="24"/>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2026-08-26T04:14:24.284Z</dcterms:created>
  <dcterms:modified xsi:type="dcterms:W3CDTF">2026-08-26T04:14:24.288Z</dcterms:modified>
</cp:coreProperties>
</file>

<file path=docProps/custom.xml><?xml version="1.0" encoding="utf-8"?>
<Properties xmlns="http://schemas.openxmlformats.org/officeDocument/2006/custom-properties" xmlns:vt="http://schemas.openxmlformats.org/officeDocument/2006/docPropsVTypes"/>
</file>