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jc w:val="center"/>
      </w:pPr>
      <w:r>
        <w:t xml:space="preserve">SHELL TABLES</w:t>
      </w:r>
    </w:p>
    <w:p>
      <w:pPr>
        <w:spacing w:after="240"/>
        <w:jc w:val="center"/>
      </w:pPr>
      <w:r>
        <w:rPr>
          <w:b/>
          <w:bCs/>
        </w:rPr>
        <w:t xml:space="preserve">Factors associated with intraoperative conversion during TAPP repair of ventral hernia: a prospective observational cohort study</w:t>
      </w:r>
    </w:p>
    <w:p>
      <w:pPr>
        <w:spacing w:after="160"/>
      </w:pPr>
      <w:r>
        <w:rPr>
          <w:i/>
          <w:iCs/>
        </w:rPr>
        <w:t xml:space="preserve">Every table the study will report, with the cells empty. The columns and the row order are what the filled tables will carry, so nothing is left to decide once the data arrive.</w:t>
      </w:r>
    </w:p>
    <w:p>
      <w:pPr>
        <w:pStyle w:val="Heading1"/>
        <w:spacing w:after="140" w:before="280"/>
      </w:pPr>
      <w:r>
        <w:t xml:space="preserve">Descriptive and baseline characteristics</w:t>
      </w:r>
    </w:p>
    <w:p>
      <w:pPr>
        <w:pStyle w:val="Heading2"/>
        <w:spacing w:after="140" w:before="280"/>
      </w:pPr>
      <w:r>
        <w:t xml:space="preserve">Table 1: Baseline demographic, clinical and hernia related characteristics by intraoperative conversion status (n = 125)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Variable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Converted,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Completed,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Total (n = 125)</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 value</w:t>
            </w:r>
          </w:p>
        </w:tc>
      </w:tr>
      <w:tr>
        <w:tc>
          <w:tcPr>
            <w:gridSpan w:val="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Age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Mean ± SD</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gridSpan w:val="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Sex</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Male,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Female,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Other,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gridSpan w:val="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Body mass index</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Mean ± SD</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gridSpan w:val="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ASA physical status grade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ASA I,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ASA II,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ASA III,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ASA IV,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gridSpan w:val="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Comorbidity burden</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None,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Hypertension,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Diabetes,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Chronic kidney disease,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COPD,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CHF / CAD,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Cirrhosis,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Cancer,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Cerebrovascular disease,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Tuberculosis,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Thyroid disease,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Immunocompromised,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gridSpan w:val="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Smoking status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Smoker,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Non-smoker,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Ex-smoker,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gridSpan w:val="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Alcohol intake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No,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Occasional,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Regular,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gridSpan w:val="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Previous abdominal surgery</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Yes,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No,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gridSpan w:val="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Type of hernia</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Ventral,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Incisional,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Recurrent,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Lumbar,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gridSpan w:val="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EHS hernia classification</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Distribution by EHS category,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gridSpan w:val="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Hernia defect size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Mean ± SD</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gridSpan w:val="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Surgeon experience, prior TAPP ventral hernia repairs performed</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Median (IQR)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gridSpan w:val="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Surgical approach used for TAPP</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Laparoscopic,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Robotic,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bl>
    <w:p>
      <w:pPr>
        <w:spacing w:after="160"/>
      </w:pPr>
      <w:r>
        <w:rPr>
          <w:i/>
          <w:iCs/>
        </w:rPr>
        <w:t xml:space="preserve">Test applied: Independent t-test or Mann-Whitney U test (continuous variables, selected according to distribution); Chi-square test or Fisher's exact test (categorical variables), comparing Converted and Completed groups.</w:t>
      </w:r>
    </w:p>
    <w:p>
      <w:pPr>
        <w:spacing w:after="160"/>
      </w:pPr>
      <w:r>
        <w:rPr>
          <w:i/>
          <w:iCs/>
        </w:rPr>
        <w:t xml:space="preserve">Continuous variables reported as mean ± SD or median (IQR) according to distribution; categorical variables reported as n (%). Percentages are column-wise and based on non-missing data for that variable. Comorbidity burden categories are not mutually exclusive.</w:t>
      </w:r>
    </w:p>
    <w:p>
      <w:pPr>
        <w:pStyle w:val="Heading1"/>
        <w:spacing w:after="140" w:before="280"/>
      </w:pPr>
      <w:r>
        <w:t xml:space="preserve">Primary outcome</w:t>
      </w:r>
    </w:p>
    <w:p>
      <w:pPr>
        <w:pStyle w:val="Heading2"/>
        <w:spacing w:after="140" w:before="280"/>
      </w:pPr>
      <w:r>
        <w:t xml:space="preserve">Table 2: Rate of intraoperative conversion during elective TAPP ventral hernia repair (n = 125)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Outcome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Converted, n</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Total, N</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Proportion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95% CI</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Intraoperative conversion from TAPP</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bl>
    <w:p>
      <w:pPr>
        <w:spacing w:after="160"/>
      </w:pPr>
      <w:r>
        <w:rPr>
          <w:i/>
          <w:iCs/>
        </w:rPr>
        <w:t xml:space="preserve">Proportion calculated as the number of patients converted divided by the total number enrolled; 95% CI computed using the exact (Clopper-Pearson) method.</w:t>
      </w:r>
    </w:p>
    <w:p>
      <w:pPr>
        <w:pStyle w:val="Heading1"/>
        <w:spacing w:after="140" w:before="280"/>
      </w:pPr>
      <w:r>
        <w:t xml:space="preserve">Secondary outcomes</w:t>
      </w:r>
    </w:p>
    <w:p>
      <w:pPr>
        <w:pStyle w:val="Heading2"/>
        <w:spacing w:after="140" w:before="280"/>
      </w:pPr>
      <w:r>
        <w:t xml:space="preserve">Table 3: Patient and hernia related factors associated with intraoperative conversion, adjusted for age, ASA grade, comorbidity burden and surgical approach (n = 125)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Predictor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Unadjusted Odds Ratio (95% CI)</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 value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Adjusted Odds Ratio (95% CI)</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 value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Body mass index</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Previous abdominal surgery</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Hernia defect size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gridSpan w:val="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EHS hernia classification</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EHS category (as documented, vs reference category)</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gridSpan w:val="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Type of hernia</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Incisional vs Ventral</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Recurrent vs Ventral</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Lumbar vs Ventral</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bl>
    <w:p>
      <w:pPr>
        <w:spacing w:after="160"/>
      </w:pPr>
      <w:r>
        <w:rPr>
          <w:i/>
          <w:iCs/>
        </w:rPr>
        <w:t xml:space="preserve">Test applied: Multivariable logistic regression; unadjusted (univariable) and adjusted odds ratios with 95% confidence intervals, adjusting for age, ASA grade, comorbidity burden and surgical approach.</w:t>
      </w:r>
    </w:p>
    <w:p>
      <w:pPr>
        <w:spacing w:after="160"/>
      </w:pPr>
      <w:r>
        <w:rPr>
          <w:i/>
          <w:iCs/>
        </w:rPr>
        <w:t xml:space="preserve">Reference categories: hernia type = Ventral; ASA grade = I; comorbidity burden = None; surgical approach = Laparoscopic. Body mass index and hernia defect size odds ratios expressed per unit increase (kg/m2 and cm respectively). Previous abdominal surgery reference category = No.</w:t>
      </w:r>
    </w:p>
    <w:p>
      <w:pPr>
        <w:pStyle w:val="Heading2"/>
        <w:spacing w:after="140" w:before="280"/>
      </w:pPr>
      <w:r>
        <w:t xml:space="preserve">Table 4: Surgeon experience and risk of intraoperative conversion, adjusted for hernia defect size, previous abdominal surgery and surgical approach (n = 125)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Predictor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Unadjusted Odds Ratio (95% CI)</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 value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Adjusted Odds Ratio (95% CI)</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 value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Surgeon experience, prior TAPP ventral hernia repairs performed</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bl>
    <w:p>
      <w:pPr>
        <w:spacing w:after="160"/>
      </w:pPr>
      <w:r>
        <w:rPr>
          <w:i/>
          <w:iCs/>
        </w:rPr>
        <w:t xml:space="preserve">Test applied: Multivariable logistic regression; unadjusted and adjusted odds ratios per additional prior TAPP ventral hernia repair performed, with 95% confidence intervals, adjusting for hernia defect size, previous abdominal surgery and surgical approach.</w:t>
      </w:r>
    </w:p>
    <w:p>
      <w:pPr>
        <w:spacing w:after="160"/>
      </w:pPr>
      <w:r>
        <w:rPr>
          <w:i/>
          <w:iCs/>
        </w:rPr>
        <w:t xml:space="preserve">Odds ratio expressed per one additional prior TAPP ventral hernia repair performed by the operating surgeon. Surgical approach reference category = Laparoscopic; previous abdominal surgery reference category = No.</w:t>
      </w:r>
    </w:p>
    <w:p>
      <w:pPr>
        <w:pStyle w:val="Heading2"/>
        <w:spacing w:after="140" w:before="280"/>
      </w:pPr>
      <w:r>
        <w:t xml:space="preserve">Table 5: Short term postoperative outcomes by intraoperative conversion status (n = 125)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Outcome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Converted</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Completed</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 value</w:t>
            </w:r>
          </w:p>
        </w:tc>
      </w:tr>
      <w:tr>
        <w:tc>
          <w:tcPr>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Total duration of surgery</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Median (IQR), minutes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Postoperative complication grade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Yes,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No, 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r>
        <w:tc>
          <w:tcPr>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Length of hospital stay</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t xml:space="preserve">Median (IQR), days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t xml:space="preserve"/>
            </w:r>
          </w:p>
        </w:tc>
      </w:tr>
    </w:tbl>
    <w:p>
      <w:pPr>
        <w:spacing w:after="160"/>
      </w:pPr>
      <w:r>
        <w:rPr>
          <w:i/>
          <w:iCs/>
        </w:rPr>
        <w:t xml:space="preserve">Test applied: Mann-Whitney U test for continuous outcomes (total operative duration, length of hospital stay); Chi-square test or Fisher's exact test for the binary outcome (postoperative complication, Clavien-Dindo grade ≥ II within 30 days), comparing Converted and Completed groups.</w:t>
      </w:r>
    </w:p>
    <w:p>
      <w:pPr>
        <w:spacing w:after="160"/>
      </w:pPr>
      <w:r>
        <w:rPr>
          <w:i/>
          <w:iCs/>
        </w:rPr>
        <w:t xml:space="preserve">Postoperative complication defined as Clavien-Dindo grade II or above occurring within 30 days of surgery. Continuous outcomes reported as median (IQR) given expected skewed distribution.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20"/>
      </w:pPr>
    </w:pPrDefault>
  </w:docDefaults>
  <w:style w:type="paragraph" w:styleId="Title">
    <w:name w:val="Title"/>
    <w:basedOn w:val="Normal"/>
    <w:next w:val="Normal"/>
    <w:qFormat/>
    <w:rPr>
      <w:rFonts w:ascii="Times New Roman" w:cs="Times New Roman" w:eastAsia="Times New Roman" w:hAnsi="Times New Roman"/>
      <w:b/>
      <w:bCs/>
      <w:color w:val="000000"/>
      <w:sz w:val="24"/>
      <w:szCs w:val="24"/>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b/>
      <w:bCs/>
      <w:color w:val="000000"/>
      <w:sz w:val="24"/>
      <w:szCs w:val="24"/>
    </w:rPr>
  </w:style>
  <w:style w:type="paragraph" w:styleId="Heading4">
    <w:name w:val="Heading 4"/>
    <w:basedOn w:val="Normal"/>
    <w:next w:val="Normal"/>
    <w:qFormat/>
    <w:rPr>
      <w:rFonts w:ascii="Times New Roman" w:cs="Times New Roman" w:eastAsia="Times New Roman" w:hAnsi="Times New Roman"/>
      <w:b/>
      <w:bCs/>
      <w:color w:val="000000"/>
      <w:sz w:val="24"/>
      <w:szCs w:val="24"/>
    </w:rPr>
  </w:style>
  <w:style w:type="paragraph" w:styleId="Heading5">
    <w:name w:val="Heading 5"/>
    <w:basedOn w:val="Normal"/>
    <w:next w:val="Normal"/>
    <w:qFormat/>
    <w:rPr>
      <w:rFonts w:ascii="Times New Roman" w:cs="Times New Roman" w:eastAsia="Times New Roman" w:hAnsi="Times New Roman"/>
      <w:b/>
      <w:bCs/>
      <w:color w:val="000000"/>
      <w:sz w:val="24"/>
      <w:szCs w:val="24"/>
    </w:rPr>
  </w:style>
  <w:style w:type="paragraph" w:styleId="Heading6">
    <w:name w:val="Heading 6"/>
    <w:basedOn w:val="Normal"/>
    <w:next w:val="Normal"/>
    <w:qFormat/>
    <w:rPr>
      <w:rFonts w:ascii="Times New Roman" w:cs="Times New Roman" w:eastAsia="Times New Roman" w:hAnsi="Times New Roman"/>
      <w:b/>
      <w:bCs/>
      <w:color w:val="000000"/>
      <w:sz w:val="24"/>
      <w:szCs w:val="24"/>
    </w:rPr>
  </w:style>
  <w:style w:type="paragraph" w:styleId="Strong">
    <w:name w:val="Strong"/>
    <w:basedOn w:val="Normal"/>
    <w:next w:val="Normal"/>
    <w:qFormat/>
    <w:rPr>
      <w:rFonts w:ascii="Times New Roman" w:cs="Times New Roman" w:eastAsia="Times New Roman" w:hAnsi="Times New Roman"/>
      <w:b/>
      <w:bCs/>
      <w:color w:val="000000"/>
      <w:sz w:val="24"/>
      <w:szCs w:val="24"/>
    </w:rPr>
  </w:style>
  <w:style w:type="paragraph" w:styleId="ListParagraph">
    <w:name w:val="List Paragraph"/>
    <w:basedOn w:val="Normal"/>
    <w:qFormat/>
    <w:rPr>
      <w:rFonts w:ascii="Times New Roman" w:cs="Times New Roman" w:eastAsia="Times New Roman" w:hAnsi="Times New Roman"/>
      <w:color w:val="000000"/>
      <w:sz w:val="24"/>
      <w:szCs w:val="24"/>
    </w:rPr>
  </w:style>
  <w:style w:type="character" w:styleId="Hyperlink">
    <w:name w:val="Hyperlink"/>
    <w:basedOn w:val="DefaultParagraphFont"/>
    <w:uiPriority w:val="99"/>
    <w:unhideWhenUsed/>
    <w:rPr>
      <w:rFonts w:ascii="Times New Roman" w:cs="Times New Roman" w:eastAsia="Times New Roman" w:hAnsi="Times New Roman"/>
      <w:color w:val="000000"/>
      <w:sz w:val="24"/>
      <w:szCs w:val="24"/>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rFonts w:ascii="Times New Roman" w:cs="Times New Roman" w:eastAsia="Times New Roman" w:hAnsi="Times New Roman"/>
      <w:color w:val="000000"/>
      <w:sz w:val="24"/>
      <w:szCs w:val="24"/>
    </w:rPr>
  </w:style>
  <w:style w:type="character" w:styleId="FootnoteTextChar">
    <w:name w:val="Footnote Text Char"/>
    <w:basedOn w:val="DefaultParagraphFont"/>
    <w:link w:val="FootnoteText"/>
    <w:uiPriority w:val="99"/>
    <w:semiHidden/>
    <w:unhideWhenUsed/>
    <w:rPr>
      <w:rFonts w:ascii="Times New Roman" w:cs="Times New Roman" w:eastAsia="Times New Roman" w:hAnsi="Times New Roman"/>
      <w:color w:val="000000"/>
      <w:sz w:val="24"/>
      <w:szCs w:val="24"/>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rFonts w:ascii="Times New Roman" w:cs="Times New Roman" w:eastAsia="Times New Roman" w:hAnsi="Times New Roman"/>
      <w:color w:val="000000"/>
      <w:sz w:val="24"/>
      <w:szCs w:val="24"/>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2026-08-26T04:11:55.495Z</dcterms:created>
  <dcterms:modified xsi:type="dcterms:W3CDTF">2026-08-26T04:11:55.496Z</dcterms:modified>
</cp:coreProperties>
</file>

<file path=docProps/custom.xml><?xml version="1.0" encoding="utf-8"?>
<Properties xmlns="http://schemas.openxmlformats.org/officeDocument/2006/custom-properties" xmlns:vt="http://schemas.openxmlformats.org/officeDocument/2006/docPropsVTypes"/>
</file>