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76" w:lineRule="auto"/>
      </w:pPr>
      <w:r>
        <w:rPr>
          <w:rFonts w:ascii="Arial" w:hAnsi="Arial"/>
          <w:b w:val="0"/>
          <w:sz w:val="40"/>
        </w:rPr>
        <w:t>July ERP Hypercare Operations Note</w:t>
      </w:r>
    </w:p>
    <w:p>
      <w:pPr>
        <w:spacing w:after="160" w:line="276" w:lineRule="auto"/>
      </w:pPr>
      <w:r>
        <w:rPr>
          <w:rFonts w:ascii="Arial" w:hAnsi="Arial"/>
          <w:b w:val="0"/>
          <w:color w:val="555555"/>
          <w:sz w:val="22"/>
        </w:rPr>
        <w:t>TerraBuild finance, procurement, inventory, and project-costing modules</w:t>
      </w:r>
    </w:p>
    <w:p>
      <w:pPr>
        <w:spacing w:after="160" w:line="276" w:lineRule="auto"/>
      </w:pPr>
      <w:r>
        <w:rPr>
          <w:rFonts w:ascii="Arial" w:hAnsi="Arial"/>
          <w:b w:val="0"/>
          <w:sz w:val="22"/>
        </w:rPr>
        <w:t>Morgan,</w:t>
      </w:r>
    </w:p>
    <w:p>
      <w:pPr>
        <w:spacing w:after="160" w:line="276" w:lineRule="auto"/>
      </w:pPr>
      <w:r>
        <w:rPr>
          <w:rFonts w:ascii="Arial" w:hAnsi="Arial"/>
          <w:b w:val="0"/>
          <w:sz w:val="22"/>
        </w:rPr>
        <w:t>Below is the month-end hypercare note for July. Finance close coverage was staffed for each approved close window, and there were no deferred critical defects at the end of the month.</w:t>
      </w:r>
    </w:p>
    <w:p>
      <w:pPr>
        <w:spacing w:after="160" w:line="276" w:lineRule="auto"/>
      </w:pPr>
      <w:r>
        <w:rPr>
          <w:rFonts w:ascii="Arial" w:hAnsi="Arial"/>
          <w:b w:val="0"/>
          <w:sz w:val="22"/>
        </w:rPr>
        <w:t>The ERP production availability target is 99.5%; July landed at 99.61%. Critical interface success target is 98.5%; the payroll, bank, inventory, and ledger feeds averaged 99.1%. P1 ERP response target is 1 hour; average acknowledgement was 42 minutes.</w:t>
      </w:r>
    </w:p>
    <w:p>
      <w:pPr>
        <w:spacing w:after="160" w:line="276" w:lineRule="auto"/>
      </w:pPr>
      <w:r>
        <w:rPr>
          <w:rFonts w:ascii="Arial" w:hAnsi="Arial"/>
          <w:b w:val="0"/>
          <w:sz w:val="22"/>
        </w:rPr>
        <w:t>Batch monitor: 99.2% of scheduled jobs completed successfully. User access queue: 96.7% completed within the agreed SLA. The interface health export and module support tracker are in the shared Hypercare folder.</w:t>
      </w:r>
    </w:p>
    <w:p>
      <w:pPr>
        <w:spacing w:after="160" w:line="276" w:lineRule="auto"/>
      </w:pPr>
      <w:r>
        <w:rPr>
          <w:rFonts w:ascii="Arial" w:hAnsi="Arial"/>
          <w:b w:val="0"/>
          <w:sz w:val="22"/>
        </w:rPr>
        <w:t>Regards,</w:t>
      </w:r>
      <w:r>
        <w:br/>
      </w:r>
      <w:r>
        <w:rPr>
          <w:rFonts w:ascii="Arial" w:hAnsi="Arial"/>
          <w:b w:val="0"/>
          <w:sz w:val="22"/>
        </w:rPr>
        <w:t>Leena Rao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