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</w:pPr>
      <w:r>
        <w:rPr>
          <w:rFonts w:ascii="Arial" w:hAnsi="Arial"/>
          <w:b w:val="0"/>
          <w:sz w:val="40"/>
        </w:rPr>
        <w:t>July ERP Hypercare Operations Note</w:t>
      </w:r>
    </w:p>
    <w:p>
      <w:pPr>
        <w:spacing w:after="160" w:line="276" w:lineRule="auto"/>
      </w:pPr>
      <w:r>
        <w:rPr>
          <w:rFonts w:ascii="Arial" w:hAnsi="Arial"/>
          <w:b w:val="0"/>
          <w:color w:val="555555"/>
          <w:sz w:val="22"/>
        </w:rPr>
        <w:t>TerraBuild finance, procurement, inventory, and project-costing modules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Morgan,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July close support had several issues that need review before Finance releases the ERP services invoice.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The ERP production availability number is 99.52%, but critical interface success came in at 96.9% against the 98.5% target. P1 ERP response averaged 1 hour 20 minutes. There was also a two-hour gap in the close bridge during the approved month-end window.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Batch monitor: 97.2% successful scheduled jobs. User access queue: 94.1% within SLA. The defect aging report shows three critical defects older than 10 business days and none of those were customer-deferred as of 31-Jul.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I suggest we send a remediation plan before billing July.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Regards,</w:t>
      </w:r>
      <w:r>
        <w:br/>
      </w:r>
      <w:r>
        <w:rPr>
          <w:rFonts w:ascii="Arial" w:hAnsi="Arial"/>
          <w:b w:val="0"/>
          <w:sz w:val="22"/>
        </w:rPr>
        <w:t>Leena Rao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