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19"/>
        </w:rPr>
        <w:t>PAYMENT RECORD FOR SERVICES RENDERED</w:t>
      </w:r>
    </w:p>
    <w:p>
      <w:pPr>
        <w:spacing w:before="0" w:after="40" w:line="264" w:lineRule="auto"/>
        <w:jc w:val="center"/>
        <w:keepNext/>
      </w:pPr>
      <w:r>
        <w:rPr>
          <w:rFonts w:ascii="Calibri" w:hAnsi="Calibri"/>
          <w:b/>
          <w:i w:val="0"/>
          <w:color w:val="000000"/>
          <w:sz w:val="32"/>
        </w:rPr>
        <w:t>PAYMENT RECORD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505050"/>
          <w:sz w:val="21"/>
        </w:rPr>
        <w:t>ERP Bank Receipt Advice</w:t>
      </w:r>
    </w:p>
    <w:tbl>
      <w:tblGrid>
        <w:gridCol w:w="1500"/>
        <w:gridCol w:w="3300"/>
        <w:gridCol w:w="1800"/>
        <w:gridCol w:w="27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TerraBuild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Record No.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PAY-ERP-TERRABUILD-01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Attention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Morgan Hale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Record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28-Aug-2026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No.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INV-ERP-BASED-001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Status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Paid in full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Contract ID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C-SVC-ERP-001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Billing Type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ERP Based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Date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31-Jul-2026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Due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Currency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USD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Service Period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July 2026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Summary</w:t>
      </w:r>
    </w:p>
    <w:tbl>
      <w:tblGrid>
        <w:gridCol w:w="6200"/>
        <w:gridCol w:w="31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6200"/>
            <w:vAlign w:val="center"/>
            <w:shd w:fill="F2F2F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Description</w:t>
            </w:r>
          </w:p>
        </w:tc>
        <w:tc>
          <w:tcPr>
            <w:tcW w:type="dxa" w:w="3160"/>
            <w:vAlign w:val="center"/>
            <w:shd w:fill="F2F2F2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Amount (USD)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Invoice description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ERP rollout, integration, and hypercare billing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total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$126,750.00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received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$126,750.00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applied to invoice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$126,750.00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Pending payment / cash issue amount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Open invoice balance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6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Unapplied cash / credit hold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Details</w:t>
      </w:r>
    </w:p>
    <w:tbl>
      <w:tblGrid>
        <w:gridCol w:w="1450"/>
        <w:gridCol w:w="1200"/>
        <w:gridCol w:w="900"/>
        <w:gridCol w:w="2600"/>
        <w:gridCol w:w="1150"/>
        <w:gridCol w:w="1150"/>
        <w:gridCol w:w="9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70" w:type="dxa"/>
          <w:bottom w:w="70" w:type="dxa"/>
          <w:start w:w="90" w:type="dxa"/>
          <w:end w:w="90" w:type="dxa"/>
        </w:tblCellMar>
      </w:tblPr>
      <w:tr>
        <w:tc>
          <w:tcPr>
            <w:tcW w:type="dxa" w:w="14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ID</w:t>
            </w:r>
          </w:p>
        </w:tc>
        <w:tc>
          <w:tcPr>
            <w:tcW w:type="dxa" w:w="12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Date</w:t>
            </w:r>
          </w:p>
        </w:tc>
        <w:tc>
          <w:tcPr>
            <w:tcW w:type="dxa" w:w="9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Method</w:t>
            </w:r>
          </w:p>
        </w:tc>
        <w:tc>
          <w:tcPr>
            <w:tcW w:type="dxa" w:w="26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Reference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Received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Applied</w:t>
            </w:r>
          </w:p>
        </w:tc>
        <w:tc>
          <w:tcPr>
            <w:tcW w:type="dxa" w:w="91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Pending Payment / Issue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TB-WIRE-ERP-260828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28-Aug-2026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Wire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TB-WIRE-ERP-260828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$126,750.00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$126,750.00</w:t>
            </w:r>
          </w:p>
        </w:tc>
        <w:tc>
          <w:tcPr>
            <w:tcW w:type="dxa" w:w="91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Remittance / Cash Application Notes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TerraBuild treasury confirmed the wire for the full ERP rollout and hypercare invoice.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No deduction or payment hold was noted in the bank receipt advice.</w:t>
      </w:r>
    </w:p>
    <w:p>
      <w:pPr>
        <w:spacing w:before="160" w:after="40" w:line="264" w:lineRule="auto"/>
        <w:jc w:val="center"/>
      </w:pPr>
      <w:r>
        <w:rPr>
          <w:rFonts w:ascii="Calibri" w:hAnsi="Calibri"/>
          <w:b w:val="0"/>
          <w:i/>
          <w:color w:val="505050"/>
          <w:sz w:val="17"/>
        </w:rPr>
        <w:t>This payment record is prepared for accounts receivable validation and cash application review.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