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b/>
          <w:i/>
          <w:sz w:val="22"/>
          <w:u w:val="none"/>
        </w:rPr>
        <w:t>Service Agreement</w:t>
      </w:r>
    </w:p>
    <w:p>
      <w:pPr>
        <w:spacing w:after="120" w:line="240" w:lineRule="auto"/>
        <w:jc w:val="center"/>
      </w:pPr>
      <w:r>
        <w:rPr>
          <w:rFonts w:ascii="Times New Roman" w:hAnsi="Times New Roman"/>
          <w:b/>
          <w:i w:val="0"/>
          <w:sz w:val="23"/>
          <w:u w:val="none"/>
        </w:rPr>
        <w:t>Contract No. SVC-ARC-2026-001</w:t>
      </w:r>
    </w:p>
    <w:p>
      <w:pPr>
        <w:spacing w:after="120" w:line="240" w:lineRule="auto"/>
        <w:jc w:val="center"/>
      </w:pPr>
      <w:r>
        <w:rPr>
          <w:rFonts w:ascii="Times New Roman" w:hAnsi="Times New Roman"/>
          <w:b/>
          <w:i w:val="0"/>
          <w:sz w:val="24"/>
          <w:u w:val="single"/>
        </w:rPr>
        <w:t>PROFESSIONAL SERVICES AGREEMENT</w:t>
      </w:r>
    </w:p>
    <w:p>
      <w:pPr>
        <w:spacing w:after="120" w:line="240" w:lineRule="auto"/>
      </w:pPr>
      <w:r>
        <w:rPr>
          <w:rFonts w:ascii="Times New Roman" w:hAnsi="Times New Roman"/>
          <w:b w:val="0"/>
          <w:i w:val="0"/>
          <w:sz w:val="21"/>
          <w:u w:val="none"/>
        </w:rPr>
      </w:r>
    </w:p>
    <w:p>
      <w:pPr>
        <w:spacing w:after="120" w:line="240" w:lineRule="auto"/>
      </w:pPr>
      <w:r>
        <w:rPr>
          <w:rFonts w:ascii="Times New Roman" w:hAnsi="Times New Roman"/>
          <w:b w:val="0"/>
          <w:i w:val="0"/>
          <w:sz w:val="21"/>
          <w:u w:val="none"/>
        </w:rPr>
        <w:t>THIS AGREEMENT made and entered into this 1st day of July, 2026 by and between OMNIRETAIL HOLDINGS INC., hereinafter called CUSTOMER, and AXION TECHNOLOGIES LIMITED, hereinafter called CONSULTANT for Digital Run Annual Recurring Commitment Services.</w:t>
      </w:r>
    </w:p>
    <w:p>
      <w:pPr>
        <w:spacing w:after="80" w:line="240" w:lineRule="auto"/>
      </w:pPr>
      <w:r>
        <w:rPr>
          <w:rFonts w:ascii="Times New Roman" w:hAnsi="Times New Roman"/>
          <w:b/>
          <w:sz w:val="21"/>
        </w:rPr>
        <w:t xml:space="preserve">1.    </w:t>
      </w:r>
      <w:r>
        <w:rPr>
          <w:rFonts w:ascii="Times New Roman" w:hAnsi="Times New Roman"/>
          <w:b/>
          <w:sz w:val="21"/>
          <w:u w:val="single"/>
        </w:rPr>
        <w:t>DUTIES.</w:t>
      </w:r>
    </w:p>
    <w:p>
      <w:pPr>
        <w:spacing w:after="120" w:line="240" w:lineRule="auto"/>
        <w:ind w:left="576" w:hanging="360"/>
      </w:pPr>
      <w:r>
        <w:rPr>
          <w:rFonts w:ascii="Times New Roman" w:hAnsi="Times New Roman"/>
          <w:sz w:val="21"/>
        </w:rPr>
        <w:t>A.  CONSULTANT agrees to exercise special skill to accomplish the following results in a manner reasonably satisfactory to CUSTOMER: operate digital run services under an annual recurring commitment with monthly minimum billing and quarterly usage reconciliation, as specified in Exhibit A: Scope of Services, which by this reference is incorporated herein.</w:t>
      </w:r>
    </w:p>
    <w:p>
      <w:pPr>
        <w:spacing w:after="120" w:line="240" w:lineRule="auto"/>
        <w:ind w:left="576" w:hanging="360"/>
      </w:pPr>
      <w:r>
        <w:rPr>
          <w:rFonts w:ascii="Times New Roman" w:hAnsi="Times New Roman"/>
          <w:sz w:val="21"/>
        </w:rPr>
        <w:t>B.  CONSULTANT shall provide, and CUSTOMER shall make available, the personnel listed below to perform and manage the above-specified services, which persons are designated as key personnel under this Agreement.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Name</w:t>
            </w:r>
          </w:p>
        </w:tc>
        <w:tc>
          <w:tcPr>
            <w:tcW w:type="dxa" w:w="3331"/>
            <w:vAlign w:val="top"/>
            <w:tcMar>
              <w:top w:w="80" w:type="dxa"/>
              <w:left w:w="80" w:type="dxa"/>
              <w:bottom w:w="80" w:type="dxa"/>
              <w:right w:w="80" w:type="dxa"/>
            </w:tcMar>
          </w:tcPr>
          <w:p>
            <w:pPr>
              <w:spacing w:after="0"/>
            </w:pPr>
            <w:r/>
            <w:r>
              <w:rPr>
                <w:rFonts w:ascii="Times New Roman" w:hAnsi="Times New Roman"/>
                <w:b/>
                <w:sz w:val="18"/>
              </w:rPr>
              <w:t>Firm</w:t>
            </w:r>
          </w:p>
        </w:tc>
        <w:tc>
          <w:tcPr>
            <w:tcW w:type="dxa" w:w="3331"/>
            <w:vAlign w:val="top"/>
            <w:tcMar>
              <w:top w:w="80" w:type="dxa"/>
              <w:left w:w="80" w:type="dxa"/>
              <w:bottom w:w="80" w:type="dxa"/>
              <w:right w:w="80" w:type="dxa"/>
            </w:tcMar>
          </w:tcPr>
          <w:p>
            <w:pPr>
              <w:spacing w:after="0"/>
            </w:pPr>
            <w:r/>
            <w:r>
              <w:rPr>
                <w:rFonts w:ascii="Times New Roman" w:hAnsi="Times New Roman"/>
                <w:b/>
                <w:sz w:val="18"/>
              </w:rPr>
              <w:t>Function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Leena Rao</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Principal in Charge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Arjun Mehta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Project Manager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Morgan Hale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OMNIRETAIL HOLDINGS INC.</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Customer Digital Operations Manager and Invoice Attention</w:t>
            </w:r>
          </w:p>
        </w:tc>
      </w:tr>
    </w:tbl>
    <w:p>
      <w:pPr>
        <w:spacing w:after="40"/>
      </w:pPr>
    </w:p>
    <w:p>
      <w:pPr>
        <w:spacing w:after="120" w:line="240" w:lineRule="auto"/>
        <w:ind w:left="576" w:hanging="360"/>
      </w:pPr>
      <w:r>
        <w:rPr>
          <w:rFonts w:ascii="Times New Roman" w:hAnsi="Times New Roman"/>
          <w:sz w:val="21"/>
        </w:rPr>
        <w:t>C.  No person named in paragraph B of this Section, or his or her successor, shall be removed or replaced, nor shall his or her agreed-upon function hereunder be changed, without the prior written consent of the other party. Such consent shall not be unreasonably withheld.</w:t>
      </w:r>
    </w:p>
    <w:p>
      <w:pPr>
        <w:spacing w:after="120" w:line="240" w:lineRule="auto"/>
        <w:ind w:left="576" w:hanging="360"/>
      </w:pPr>
      <w:r>
        <w:rPr>
          <w:rFonts w:ascii="Times New Roman" w:hAnsi="Times New Roman"/>
          <w:sz w:val="21"/>
        </w:rPr>
        <w:t>D.  CONSULTANT shall submit written progress reports with each invoice. The report shall be sufficiently detailed for the Customer Contract Manager to determine whether CONSULTANT is performing to expectations, is on schedule, and has identified issues requiring action.</w:t>
      </w:r>
    </w:p>
    <w:p>
      <w:pPr>
        <w:spacing w:after="40" w:line="240" w:lineRule="auto"/>
        <w:ind w:left="936" w:hanging="360"/>
      </w:pPr>
      <w:r>
        <w:rPr>
          <w:rFonts w:ascii="Times New Roman" w:hAnsi="Times New Roman"/>
          <w:sz w:val="21"/>
        </w:rPr>
        <w:t>1.  The Consultant Project Manager shall meet with the Customer Contract Manager as needed, and not less than monthly, to discuss progress under the contract.</w:t>
      </w:r>
    </w:p>
    <w:p>
      <w:pPr>
        <w:spacing w:after="40" w:line="240" w:lineRule="auto"/>
        <w:ind w:left="936" w:hanging="360"/>
      </w:pPr>
      <w:r>
        <w:rPr>
          <w:rFonts w:ascii="Times New Roman" w:hAnsi="Times New Roman"/>
          <w:sz w:val="21"/>
        </w:rPr>
        <w:t>2.  The Customer Contract Manager named above is the same person used as Attention on the related invoices for this billing model.</w:t>
      </w:r>
    </w:p>
    <w:p>
      <w:pPr>
        <w:spacing w:after="80" w:line="240" w:lineRule="auto"/>
      </w:pPr>
      <w:r>
        <w:rPr>
          <w:rFonts w:ascii="Times New Roman" w:hAnsi="Times New Roman"/>
          <w:b/>
          <w:sz w:val="21"/>
        </w:rPr>
        <w:t xml:space="preserve">2.    </w:t>
      </w:r>
      <w:r>
        <w:rPr>
          <w:rFonts w:ascii="Times New Roman" w:hAnsi="Times New Roman"/>
          <w:b/>
          <w:sz w:val="21"/>
          <w:u w:val="single"/>
        </w:rPr>
        <w:t>COMPENSATION.</w:t>
      </w:r>
    </w:p>
    <w:p>
      <w:pPr>
        <w:spacing w:after="120" w:line="240" w:lineRule="auto"/>
        <w:ind w:left="576" w:hanging="360"/>
      </w:pPr>
      <w:r>
        <w:rPr>
          <w:rFonts w:ascii="Times New Roman" w:hAnsi="Times New Roman"/>
          <w:sz w:val="21"/>
        </w:rPr>
        <w:t>A.  Total payment is not to exceed $1,080,000.00. The Annual Recurring Commitment is $840,000.00, billed at a monthly floor of $70,000.00, with additional usage or expansion items invoiced as approved.</w:t>
      </w:r>
    </w:p>
    <w:p>
      <w:pPr>
        <w:spacing w:after="120" w:line="240" w:lineRule="auto"/>
        <w:ind w:left="576" w:hanging="360"/>
      </w:pPr>
      <w:r>
        <w:rPr>
          <w:rFonts w:ascii="Times New Roman" w:hAnsi="Times New Roman"/>
          <w:sz w:val="21"/>
        </w:rPr>
        <w:t>B.  Progress payments will be made monthly in arrears or upon accepted billing events, as applicable to the billing model in Exhibit B. No payment will be made prior to approval of the work or billing event by the Customer Contract Manager.</w:t>
      </w:r>
    </w:p>
    <w:p>
      <w:pPr>
        <w:spacing w:after="120" w:line="240" w:lineRule="auto"/>
        <w:ind w:left="576" w:hanging="360"/>
      </w:pPr>
      <w:r>
        <w:rPr>
          <w:rFonts w:ascii="Times New Roman" w:hAnsi="Times New Roman"/>
          <w:sz w:val="21"/>
        </w:rPr>
        <w:t>C.  The Consultant will be reimbursed after receipt by Customer of itemized invoices. Invoices shall be submitted no later than forty-five calendar days after the performance of work or acceptance of the billing event for which Consultant is billing.</w:t>
      </w:r>
    </w:p>
    <w:p>
      <w:pPr>
        <w:spacing w:after="120" w:line="240" w:lineRule="auto"/>
        <w:ind w:left="576" w:hanging="360"/>
      </w:pPr>
      <w:r>
        <w:rPr>
          <w:rFonts w:ascii="Times New Roman" w:hAnsi="Times New Roman"/>
          <w:sz w:val="21"/>
        </w:rPr>
        <w:t>D.  The invoices must include the following information:</w:t>
      </w:r>
    </w:p>
    <w:p>
      <w:pPr>
        <w:spacing w:after="40" w:line="240" w:lineRule="auto"/>
        <w:ind w:left="936" w:hanging="360"/>
      </w:pPr>
      <w:r>
        <w:rPr>
          <w:rFonts w:ascii="Times New Roman" w:hAnsi="Times New Roman"/>
          <w:sz w:val="21"/>
        </w:rPr>
        <w:t>1.  Labor details, if applicable, including staff name, resource level, hours charged, hourly billing rate, current charges, and cumulative charges by task.</w:t>
      </w:r>
    </w:p>
    <w:p>
      <w:pPr>
        <w:spacing w:after="40" w:line="240" w:lineRule="auto"/>
        <w:ind w:left="936" w:hanging="360"/>
      </w:pPr>
      <w:r>
        <w:rPr>
          <w:rFonts w:ascii="Times New Roman" w:hAnsi="Times New Roman"/>
          <w:sz w:val="21"/>
        </w:rPr>
        <w:t>2.  Fixed monthly, milestone, outcome, ARC, RRC, ERP, or cap-related billing details required by Exhibit B.</w:t>
      </w:r>
    </w:p>
    <w:p>
      <w:pPr>
        <w:spacing w:after="40" w:line="240" w:lineRule="auto"/>
        <w:ind w:left="936" w:hanging="360"/>
      </w:pPr>
      <w:r>
        <w:rPr>
          <w:rFonts w:ascii="Times New Roman" w:hAnsi="Times New Roman"/>
          <w:sz w:val="21"/>
        </w:rPr>
        <w:t>3.  Total invoice or payment requested, previous payments, cumulative amount billed, and remaining authorized amount.</w:t>
      </w:r>
    </w:p>
    <w:p>
      <w:pPr>
        <w:spacing w:after="40" w:line="240" w:lineRule="auto"/>
        <w:ind w:left="936" w:hanging="360"/>
      </w:pPr>
      <w:r>
        <w:rPr>
          <w:rFonts w:ascii="Times New Roman" w:hAnsi="Times New Roman"/>
          <w:sz w:val="21"/>
        </w:rPr>
        <w:t>4.  Written progress report, acceptance certificate, SLA/KPI report, commitment ledger, or other billing support required by Exhibit C.</w:t>
      </w:r>
    </w:p>
    <w:p>
      <w:pPr>
        <w:spacing w:after="40" w:line="240" w:lineRule="auto"/>
        <w:ind w:left="936" w:hanging="360"/>
      </w:pPr>
      <w:r>
        <w:rPr>
          <w:rFonts w:ascii="Times New Roman" w:hAnsi="Times New Roman"/>
          <w:sz w:val="21"/>
        </w:rPr>
        <w:t>5.  Invoice attention line naming Morgan Hale as the Customer Contract Manager unless Customer provides written notice of a replacement.</w:t>
      </w:r>
    </w:p>
    <w:p>
      <w:pPr>
        <w:spacing w:after="120" w:line="240" w:lineRule="auto"/>
        <w:ind w:left="576" w:hanging="360"/>
      </w:pPr>
      <w:r>
        <w:rPr>
          <w:rFonts w:ascii="Times New Roman" w:hAnsi="Times New Roman"/>
          <w:sz w:val="21"/>
        </w:rPr>
        <w:t>E.  Consultant shall not exceed the not-to-exceed amount or billing caps shown in Exhibit B except with prior written approval of the Customer Contract Manager.</w:t>
      </w:r>
    </w:p>
    <w:p>
      <w:pPr>
        <w:spacing w:after="120" w:line="240" w:lineRule="auto"/>
        <w:ind w:left="576" w:hanging="360"/>
      </w:pPr>
      <w:r>
        <w:rPr>
          <w:rFonts w:ascii="Times New Roman" w:hAnsi="Times New Roman"/>
          <w:sz w:val="21"/>
        </w:rPr>
        <w:t>F.  Customer may delay payment of any invoice that lacks required support until Consultant provides the missing information in reasonable detail.</w:t>
      </w:r>
    </w:p>
    <w:p>
      <w:pPr>
        <w:spacing w:after="80" w:line="240" w:lineRule="auto"/>
      </w:pPr>
      <w:r>
        <w:rPr>
          <w:rFonts w:ascii="Times New Roman" w:hAnsi="Times New Roman"/>
          <w:b/>
          <w:sz w:val="21"/>
        </w:rPr>
        <w:t xml:space="preserve">3.    </w:t>
      </w:r>
      <w:r>
        <w:rPr>
          <w:rFonts w:ascii="Times New Roman" w:hAnsi="Times New Roman"/>
          <w:b/>
          <w:sz w:val="21"/>
          <w:u w:val="single"/>
        </w:rPr>
        <w:t>TERM.</w:t>
      </w:r>
      <w:r>
        <w:rPr>
          <w:rFonts w:ascii="Times New Roman" w:hAnsi="Times New Roman"/>
          <w:sz w:val="21"/>
        </w:rPr>
        <w:t xml:space="preserve"> This Agreement shall take effect on July 1, 2026 and shall end on June 30, 2027, unless earlier terminated or extended by written amendment. This Agreement is not binding until it is fully executed by both parties.</w:t>
      </w:r>
    </w:p>
    <w:p>
      <w:pPr>
        <w:spacing w:after="80" w:line="240" w:lineRule="auto"/>
      </w:pPr>
      <w:r>
        <w:rPr>
          <w:rFonts w:ascii="Times New Roman" w:hAnsi="Times New Roman"/>
          <w:b/>
          <w:sz w:val="21"/>
        </w:rPr>
        <w:t xml:space="preserve">4.    </w:t>
      </w:r>
      <w:r>
        <w:rPr>
          <w:rFonts w:ascii="Times New Roman" w:hAnsi="Times New Roman"/>
          <w:b/>
          <w:sz w:val="21"/>
          <w:u w:val="single"/>
        </w:rPr>
        <w:t>EARLY TERMINATION.</w:t>
      </w:r>
    </w:p>
    <w:p>
      <w:pPr>
        <w:spacing w:after="120" w:line="240" w:lineRule="auto"/>
        <w:ind w:left="576" w:hanging="360"/>
      </w:pPr>
      <w:r>
        <w:rPr>
          <w:rFonts w:ascii="Times New Roman" w:hAnsi="Times New Roman"/>
          <w:sz w:val="21"/>
        </w:rPr>
        <w:t>A.  Customer may terminate this Agreement for convenience, in whole or in part, by giving Consultant thirty-day written notice. Customer shall pay Consultant for allowable services performed and accepted through the termination date.</w:t>
      </w:r>
    </w:p>
    <w:p>
      <w:pPr>
        <w:spacing w:after="120" w:line="240" w:lineRule="auto"/>
        <w:ind w:left="576" w:hanging="360"/>
      </w:pPr>
      <w:r>
        <w:rPr>
          <w:rFonts w:ascii="Times New Roman" w:hAnsi="Times New Roman"/>
          <w:sz w:val="21"/>
        </w:rPr>
        <w:t>B.  Either party may terminate this Agreement for material breach if the breaching party fails to cure the breach within thirty days after receiving written notice describing the breach in reasonable detail.</w:t>
      </w:r>
    </w:p>
    <w:p>
      <w:pPr>
        <w:spacing w:after="80" w:line="240" w:lineRule="auto"/>
      </w:pPr>
      <w:r>
        <w:rPr>
          <w:rFonts w:ascii="Times New Roman" w:hAnsi="Times New Roman"/>
          <w:b/>
          <w:sz w:val="21"/>
        </w:rPr>
        <w:t xml:space="preserve">5.    </w:t>
      </w:r>
      <w:r>
        <w:rPr>
          <w:rFonts w:ascii="Times New Roman" w:hAnsi="Times New Roman"/>
          <w:b/>
          <w:sz w:val="21"/>
          <w:u w:val="single"/>
        </w:rPr>
        <w:t>INDEPENDENT CONSULTANT AND INDEMNIFICATION.</w:t>
      </w:r>
    </w:p>
    <w:p>
      <w:pPr>
        <w:spacing w:after="120" w:line="240" w:lineRule="auto"/>
        <w:ind w:left="576" w:hanging="360"/>
      </w:pPr>
      <w:r>
        <w:rPr>
          <w:rFonts w:ascii="Times New Roman" w:hAnsi="Times New Roman"/>
          <w:sz w:val="21"/>
        </w:rPr>
        <w:t>A.  Consultant is an independent contractor and not an employee, agent, or partner of Customer. Consultant shall control the manner and means of performing the services, subject to the scope, reporting, and acceptance requirements of this Agreement.</w:t>
      </w:r>
    </w:p>
    <w:p>
      <w:pPr>
        <w:spacing w:after="120" w:line="240" w:lineRule="auto"/>
        <w:ind w:left="576" w:hanging="360"/>
      </w:pPr>
      <w:r>
        <w:rPr>
          <w:rFonts w:ascii="Times New Roman" w:hAnsi="Times New Roman"/>
          <w:sz w:val="21"/>
        </w:rPr>
        <w:t>B.  Consultant shall indemnify and hold Customer harmless from claims, damages, and expenses arising from Consultant's gross negligence, willful misconduct, or material breach of this Agreement, except to the extent caused by Customer.</w:t>
      </w:r>
    </w:p>
    <w:p>
      <w:pPr>
        <w:spacing w:after="80" w:line="240" w:lineRule="auto"/>
      </w:pPr>
      <w:r>
        <w:rPr>
          <w:rFonts w:ascii="Times New Roman" w:hAnsi="Times New Roman"/>
          <w:b/>
          <w:sz w:val="21"/>
        </w:rPr>
        <w:t xml:space="preserve">6.    </w:t>
      </w:r>
      <w:r>
        <w:rPr>
          <w:rFonts w:ascii="Times New Roman" w:hAnsi="Times New Roman"/>
          <w:b/>
          <w:sz w:val="21"/>
          <w:u w:val="single"/>
        </w:rPr>
        <w:t>INSURANCE.</w:t>
      </w:r>
    </w:p>
    <w:p>
      <w:pPr>
        <w:spacing w:after="120" w:line="240" w:lineRule="auto"/>
        <w:ind w:left="576" w:hanging="360"/>
      </w:pPr>
      <w:r>
        <w:rPr>
          <w:rFonts w:ascii="Times New Roman" w:hAnsi="Times New Roman"/>
          <w:sz w:val="21"/>
        </w:rPr>
        <w:t>A.  Consultant shall maintain commercially reasonable insurance during the term, including commercial general liability, workers' compensation as required by law, professional liability, cyber liability where customer data is handled, and automobile liability if travel is required.</w:t>
      </w:r>
    </w:p>
    <w:p>
      <w:pPr>
        <w:spacing w:after="120" w:line="240" w:lineRule="auto"/>
        <w:ind w:left="576" w:hanging="360"/>
      </w:pPr>
      <w:r>
        <w:rPr>
          <w:rFonts w:ascii="Times New Roman" w:hAnsi="Times New Roman"/>
          <w:sz w:val="21"/>
        </w:rPr>
        <w:t>B.  Upon request, Consultant shall provide certificates of insurance naming Customer as certificate holder for the applicable policies.</w:t>
      </w:r>
    </w:p>
    <w:p>
      <w:pPr>
        <w:spacing w:after="80" w:line="240" w:lineRule="auto"/>
      </w:pPr>
      <w:r>
        <w:rPr>
          <w:rFonts w:ascii="Times New Roman" w:hAnsi="Times New Roman"/>
          <w:b/>
          <w:sz w:val="21"/>
        </w:rPr>
        <w:t xml:space="preserve">7.    </w:t>
      </w:r>
      <w:r>
        <w:rPr>
          <w:rFonts w:ascii="Times New Roman" w:hAnsi="Times New Roman"/>
          <w:b/>
          <w:sz w:val="21"/>
          <w:u w:val="single"/>
        </w:rPr>
        <w:t>FEDERAL, STATE, AND LOCAL LAWS.</w:t>
      </w:r>
    </w:p>
    <w:p>
      <w:pPr>
        <w:spacing w:after="120" w:line="240" w:lineRule="auto"/>
        <w:ind w:left="576" w:hanging="360"/>
      </w:pPr>
      <w:r>
        <w:rPr>
          <w:rFonts w:ascii="Times New Roman" w:hAnsi="Times New Roman"/>
          <w:sz w:val="21"/>
        </w:rPr>
        <w:t>A.  Consultant shall comply with all laws and regulations applicable to the performance of the services, including privacy, data protection, export, anti-bribery, labor, tax, and professional services requirements.</w:t>
      </w:r>
    </w:p>
    <w:p>
      <w:pPr>
        <w:spacing w:after="120" w:line="240" w:lineRule="auto"/>
        <w:ind w:left="576" w:hanging="360"/>
      </w:pPr>
      <w:r>
        <w:rPr>
          <w:rFonts w:ascii="Times New Roman" w:hAnsi="Times New Roman"/>
          <w:sz w:val="21"/>
        </w:rPr>
        <w:t>B.  Consultant shall not knowingly perform services in a manner that would cause Customer to violate an applicable law or regulatory obligation.</w:t>
      </w:r>
    </w:p>
    <w:p>
      <w:pPr>
        <w:spacing w:after="80" w:line="240" w:lineRule="auto"/>
      </w:pPr>
      <w:r>
        <w:rPr>
          <w:rFonts w:ascii="Times New Roman" w:hAnsi="Times New Roman"/>
          <w:b/>
          <w:sz w:val="21"/>
        </w:rPr>
        <w:t xml:space="preserve">8.    </w:t>
      </w:r>
      <w:r>
        <w:rPr>
          <w:rFonts w:ascii="Times New Roman" w:hAnsi="Times New Roman"/>
          <w:b/>
          <w:sz w:val="21"/>
          <w:u w:val="single"/>
        </w:rPr>
        <w:t>EQUAL EMPLOYMENT OPPORTUNITY.</w:t>
      </w:r>
    </w:p>
    <w:p>
      <w:pPr>
        <w:spacing w:after="120" w:line="240" w:lineRule="auto"/>
        <w:ind w:left="576" w:hanging="360"/>
      </w:pPr>
      <w:r>
        <w:rPr>
          <w:rFonts w:ascii="Times New Roman" w:hAnsi="Times New Roman"/>
          <w:sz w:val="21"/>
        </w:rPr>
        <w:t>A.  Consultant shall not discriminate against any employee or applicant for employment because of race, color, religion, sex, national origin, age, disability, veteran status, or any other status protected by applicable law.</w:t>
      </w:r>
    </w:p>
    <w:p>
      <w:pPr>
        <w:spacing w:after="120" w:line="240" w:lineRule="auto"/>
        <w:ind w:left="576" w:hanging="360"/>
      </w:pPr>
      <w:r>
        <w:rPr>
          <w:rFonts w:ascii="Times New Roman" w:hAnsi="Times New Roman"/>
          <w:sz w:val="21"/>
        </w:rPr>
        <w:t>B.  Consultant shall include substantially similar non-discrimination obligations in applicable subcontracts used to perform the services.</w:t>
      </w:r>
    </w:p>
    <w:p>
      <w:pPr>
        <w:spacing w:after="80" w:line="240" w:lineRule="auto"/>
      </w:pPr>
      <w:r>
        <w:rPr>
          <w:rFonts w:ascii="Times New Roman" w:hAnsi="Times New Roman"/>
          <w:b/>
          <w:sz w:val="21"/>
        </w:rPr>
        <w:t xml:space="preserve">9.    </w:t>
      </w:r>
      <w:r>
        <w:rPr>
          <w:rFonts w:ascii="Times New Roman" w:hAnsi="Times New Roman"/>
          <w:b/>
          <w:sz w:val="21"/>
          <w:u w:val="single"/>
        </w:rPr>
        <w:t>CONFIDENTIALITY AND DATA SECURITY.</w:t>
      </w:r>
    </w:p>
    <w:p>
      <w:pPr>
        <w:spacing w:after="120" w:line="240" w:lineRule="auto"/>
        <w:ind w:left="576" w:hanging="360"/>
      </w:pPr>
      <w:r>
        <w:rPr>
          <w:rFonts w:ascii="Times New Roman" w:hAnsi="Times New Roman"/>
          <w:sz w:val="21"/>
        </w:rPr>
        <w:t>A.  Each party shall protect the other party's confidential information using at least reasonable care and shall use such information only to perform or receive the services under this Agreement.</w:t>
      </w:r>
    </w:p>
    <w:p>
      <w:pPr>
        <w:spacing w:after="120" w:line="240" w:lineRule="auto"/>
        <w:ind w:left="576" w:hanging="360"/>
      </w:pPr>
      <w:r>
        <w:rPr>
          <w:rFonts w:ascii="Times New Roman" w:hAnsi="Times New Roman"/>
          <w:sz w:val="21"/>
        </w:rPr>
        <w:t>B.  Consultant shall restrict access to Customer data to personnel with a need to know, maintain appropriate administrative and technical safeguards, and promptly notify Customer of any confirmed unauthorized disclosure.</w:t>
      </w:r>
    </w:p>
    <w:p>
      <w:pPr>
        <w:spacing w:after="80" w:line="240" w:lineRule="auto"/>
      </w:pPr>
      <w:r>
        <w:rPr>
          <w:rFonts w:ascii="Times New Roman" w:hAnsi="Times New Roman"/>
          <w:b/>
          <w:sz w:val="21"/>
        </w:rPr>
        <w:t xml:space="preserve">10.    </w:t>
      </w:r>
      <w:r>
        <w:rPr>
          <w:rFonts w:ascii="Times New Roman" w:hAnsi="Times New Roman"/>
          <w:b/>
          <w:sz w:val="21"/>
          <w:u w:val="single"/>
        </w:rPr>
        <w:t>NOTICES.</w:t>
      </w:r>
    </w:p>
    <w:p>
      <w:pPr>
        <w:spacing w:after="120" w:line="240" w:lineRule="auto"/>
        <w:ind w:left="576" w:hanging="360"/>
      </w:pPr>
      <w:r>
        <w:rPr>
          <w:rFonts w:ascii="Times New Roman" w:hAnsi="Times New Roman"/>
          <w:sz w:val="21"/>
        </w:rPr>
        <w:t>A.  All notices under this Agreement shall be in writing and delivered by hand, recognized courier, certified mail, or email with confirmation to the party contacts listed in Exhibit D.</w:t>
      </w:r>
    </w:p>
    <w:p>
      <w:pPr>
        <w:spacing w:after="120" w:line="240" w:lineRule="auto"/>
        <w:ind w:left="576" w:hanging="360"/>
      </w:pPr>
      <w:r>
        <w:rPr>
          <w:rFonts w:ascii="Times New Roman" w:hAnsi="Times New Roman"/>
          <w:sz w:val="21"/>
        </w:rPr>
        <w:t>B.  Operational notices, approvals, and billing support may be exchanged by email, provided that formal termination notices must follow the notice process in this Section.</w:t>
      </w:r>
    </w:p>
    <w:p>
      <w:pPr>
        <w:spacing w:after="80" w:line="240" w:lineRule="auto"/>
      </w:pPr>
      <w:r>
        <w:rPr>
          <w:rFonts w:ascii="Times New Roman" w:hAnsi="Times New Roman"/>
          <w:b/>
          <w:sz w:val="21"/>
        </w:rPr>
        <w:t xml:space="preserve">11.    </w:t>
      </w:r>
      <w:r>
        <w:rPr>
          <w:rFonts w:ascii="Times New Roman" w:hAnsi="Times New Roman"/>
          <w:b/>
          <w:sz w:val="21"/>
          <w:u w:val="single"/>
        </w:rPr>
        <w:t>EXHIBITS AND ORDER OF PRECEDENCE.</w:t>
      </w:r>
    </w:p>
    <w:p>
      <w:pPr>
        <w:spacing w:after="120" w:line="240" w:lineRule="auto"/>
        <w:ind w:left="576" w:hanging="360"/>
      </w:pPr>
      <w:r>
        <w:rPr>
          <w:rFonts w:ascii="Times New Roman" w:hAnsi="Times New Roman"/>
          <w:sz w:val="21"/>
        </w:rPr>
        <w:t>A.  Exhibit A: Scope of Services, Exhibit B: Fee Schedule and Billing Model, Exhibit C: Service Levels, KPIs, and Billing Controls, and Exhibit D: Key Personnel and Governance are incorporated by reference.</w:t>
      </w:r>
    </w:p>
    <w:p>
      <w:pPr>
        <w:spacing w:after="120" w:line="240" w:lineRule="auto"/>
        <w:ind w:left="576" w:hanging="360"/>
      </w:pPr>
      <w:r>
        <w:rPr>
          <w:rFonts w:ascii="Times New Roman" w:hAnsi="Times New Roman"/>
          <w:sz w:val="21"/>
        </w:rPr>
        <w:t>B.  If there is a conflict, the main body of this Agreement controls over the exhibits unless the exhibit expressly states that it modifies a specific section of this Agreement.</w:t>
      </w:r>
    </w:p>
    <w:p>
      <w:pPr>
        <w:spacing w:after="80" w:line="240" w:lineRule="auto"/>
      </w:pPr>
      <w:r>
        <w:rPr>
          <w:rFonts w:ascii="Times New Roman" w:hAnsi="Times New Roman"/>
          <w:b/>
          <w:sz w:val="21"/>
        </w:rPr>
        <w:t xml:space="preserve">12.    </w:t>
      </w:r>
      <w:r>
        <w:rPr>
          <w:rFonts w:ascii="Times New Roman" w:hAnsi="Times New Roman"/>
          <w:b/>
          <w:sz w:val="21"/>
          <w:u w:val="single"/>
        </w:rPr>
        <w:t>SIGNATURES.</w:t>
      </w:r>
    </w:p>
    <w:p>
      <w:pPr>
        <w:spacing w:after="120" w:line="240" w:lineRule="auto"/>
      </w:pPr>
      <w:r>
        <w:rPr>
          <w:rFonts w:ascii="Times New Roman" w:hAnsi="Times New Roman"/>
          <w:b w:val="0"/>
          <w:i w:val="0"/>
          <w:sz w:val="21"/>
          <w:u w:val="none"/>
        </w:rPr>
        <w:t>IN WITNESS WHEREOF, the parties have executed this Professional Services Agreement by their duly authorized representatives.</w:t>
      </w:r>
    </w:p>
    <w:tbl>
      <w:tblPr>
        <w:tblStyle w:val="TableGrid"/>
        <w:tblW w:type="auto" w:w="0"/>
        <w:jc w:val="center"/>
        <w:tblLook w:firstColumn="1" w:firstRow="1" w:lastColumn="0" w:lastRow="0" w:noHBand="0" w:noVBand="1" w:val="04A0"/>
      </w:tblPr>
      <w:tblGrid>
        <w:gridCol w:w="4997"/>
        <w:gridCol w:w="4997"/>
      </w:tblGrid>
      <w:tr>
        <w:tc>
          <w:tcPr>
            <w:tcW w:type="dxa" w:w="4997"/>
            <w:vAlign w:val="top"/>
            <w:tcMar>
              <w:top w:w="80" w:type="dxa"/>
              <w:left w:w="80" w:type="dxa"/>
              <w:bottom w:w="80" w:type="dxa"/>
              <w:right w:w="80" w:type="dxa"/>
            </w:tcMar>
          </w:tcPr>
          <w:p>
            <w:pPr>
              <w:spacing w:after="0"/>
            </w:pPr>
            <w:r/>
            <w:r>
              <w:rPr>
                <w:rFonts w:ascii="Times New Roman" w:hAnsi="Times New Roman"/>
                <w:b/>
                <w:sz w:val="18"/>
              </w:rPr>
              <w:t>CUSTOMER</w:t>
            </w:r>
          </w:p>
        </w:tc>
        <w:tc>
          <w:tcPr>
            <w:tcW w:type="dxa" w:w="4997"/>
            <w:vAlign w:val="top"/>
            <w:tcMar>
              <w:top w:w="80" w:type="dxa"/>
              <w:left w:w="80" w:type="dxa"/>
              <w:bottom w:w="80" w:type="dxa"/>
              <w:right w:w="80" w:type="dxa"/>
            </w:tcMar>
          </w:tcPr>
          <w:p>
            <w:pPr>
              <w:spacing w:after="0"/>
            </w:pPr>
            <w:r/>
            <w:r>
              <w:rPr>
                <w:rFonts w:ascii="Times New Roman" w:hAnsi="Times New Roman"/>
                <w:b/>
                <w:sz w:val="18"/>
              </w:rPr>
              <w:t>CONSULTANT</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OMNIRETAIL HOLDINGS INC.</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By: ______________________________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By: ______________________________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Name: 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Name: 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Title: 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Title: _____________________________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Date: 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Date: _____________________________</w:t>
            </w:r>
          </w:p>
        </w:tc>
      </w:tr>
    </w:tbl>
    <w:p>
      <w:pPr>
        <w:spacing w:after="40"/>
      </w:pPr>
    </w:p>
    <w:p>
      <w:pPr>
        <w:sectPr>
          <w:footerReference w:type="default" r:id="rId9"/>
          <w:pgSz w:w="12240" w:h="15840"/>
          <w:pgMar w:top="1080" w:right="1123" w:bottom="936" w:left="1123" w:header="720" w:footer="720" w:gutter="0"/>
          <w:cols w:space="720"/>
          <w:docGrid w:linePitch="360"/>
        </w:sectPr>
      </w:pPr>
    </w:p>
    <w:p>
      <w:pPr>
        <w:spacing w:after="120" w:line="240" w:lineRule="auto"/>
        <w:jc w:val="center"/>
      </w:pPr>
      <w:r>
        <w:rPr>
          <w:rFonts w:ascii="Times New Roman" w:hAnsi="Times New Roman"/>
          <w:b/>
          <w:i w:val="0"/>
          <w:sz w:val="23"/>
          <w:u w:val="single"/>
        </w:rPr>
        <w:t>EXHIBIT A</w:t>
      </w:r>
    </w:p>
    <w:p>
      <w:pPr>
        <w:spacing w:after="120" w:line="240" w:lineRule="auto"/>
        <w:jc w:val="center"/>
      </w:pPr>
      <w:r>
        <w:rPr>
          <w:rFonts w:ascii="Times New Roman" w:hAnsi="Times New Roman"/>
          <w:b/>
          <w:i w:val="0"/>
          <w:sz w:val="23"/>
          <w:u w:val="single"/>
        </w:rPr>
        <w:t>SCOPE OF SERVICES</w:t>
      </w:r>
    </w:p>
    <w:p>
      <w:pPr>
        <w:spacing w:after="120" w:line="240" w:lineRule="auto"/>
      </w:pPr>
      <w:r>
        <w:rPr>
          <w:rFonts w:ascii="Times New Roman" w:hAnsi="Times New Roman"/>
          <w:b w:val="0"/>
          <w:i w:val="0"/>
          <w:sz w:val="21"/>
          <w:u w:val="none"/>
        </w:rPr>
        <w:t>Consultant shall perform the following services for OmniRetail under the ARC billing model.</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Task ID</w:t>
            </w:r>
          </w:p>
        </w:tc>
        <w:tc>
          <w:tcPr>
            <w:tcW w:type="dxa" w:w="3331"/>
            <w:vAlign w:val="top"/>
            <w:tcMar>
              <w:top w:w="80" w:type="dxa"/>
              <w:left w:w="80" w:type="dxa"/>
              <w:bottom w:w="80" w:type="dxa"/>
              <w:right w:w="80" w:type="dxa"/>
            </w:tcMar>
          </w:tcPr>
          <w:p>
            <w:pPr>
              <w:spacing w:after="0"/>
            </w:pPr>
            <w:r/>
            <w:r>
              <w:rPr>
                <w:rFonts w:ascii="Times New Roman" w:hAnsi="Times New Roman"/>
                <w:b/>
                <w:sz w:val="18"/>
              </w:rPr>
              <w:t>Service Description</w:t>
            </w:r>
          </w:p>
        </w:tc>
        <w:tc>
          <w:tcPr>
            <w:tcW w:type="dxa" w:w="3331"/>
            <w:vAlign w:val="top"/>
            <w:tcMar>
              <w:top w:w="80" w:type="dxa"/>
              <w:left w:w="80" w:type="dxa"/>
              <w:bottom w:w="80" w:type="dxa"/>
              <w:right w:w="80" w:type="dxa"/>
            </w:tcMar>
          </w:tcPr>
          <w:p>
            <w:pPr>
              <w:spacing w:after="0"/>
            </w:pPr>
            <w:r/>
            <w:r>
              <w:rPr>
                <w:rFonts w:ascii="Times New Roman" w:hAnsi="Times New Roman"/>
                <w:b/>
                <w:sz w:val="18"/>
              </w:rPr>
              <w:t>Deliverable or Evidence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ARC-1</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Operate commerce platform monitoring, release support, and incident management.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Monthly run report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ARC-2</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Track consumption against annual recurring commitment and expansion units.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ARC consumption ledger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ARC-3</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Prepare quarterly true-up and commitment attainment report.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Quarterly ARC reconciliation</w:t>
            </w:r>
          </w:p>
        </w:tc>
      </w:tr>
    </w:tbl>
    <w:p>
      <w:pPr>
        <w:spacing w:after="40"/>
      </w:pPr>
    </w:p>
    <w:p>
      <w:pPr>
        <w:spacing w:after="120" w:line="240" w:lineRule="auto"/>
        <w:jc w:val="center"/>
      </w:pPr>
      <w:r>
        <w:rPr>
          <w:rFonts w:ascii="Times New Roman" w:hAnsi="Times New Roman"/>
          <w:b/>
          <w:i w:val="0"/>
          <w:sz w:val="23"/>
          <w:u w:val="single"/>
        </w:rPr>
        <w:t>EXHIBIT B</w:t>
      </w:r>
    </w:p>
    <w:p>
      <w:pPr>
        <w:spacing w:after="120" w:line="240" w:lineRule="auto"/>
        <w:jc w:val="center"/>
      </w:pPr>
      <w:r>
        <w:rPr>
          <w:rFonts w:ascii="Times New Roman" w:hAnsi="Times New Roman"/>
          <w:b/>
          <w:i w:val="0"/>
          <w:sz w:val="23"/>
          <w:u w:val="single"/>
        </w:rPr>
        <w:t>FEE SCHEDULE AND BILLING MODEL</w:t>
      </w:r>
    </w:p>
    <w:p>
      <w:pPr>
        <w:spacing w:after="120" w:line="240" w:lineRule="auto"/>
      </w:pPr>
      <w:r>
        <w:rPr>
          <w:rFonts w:ascii="Times New Roman" w:hAnsi="Times New Roman"/>
          <w:b w:val="0"/>
          <w:i w:val="0"/>
          <w:sz w:val="21"/>
          <w:u w:val="none"/>
        </w:rPr>
        <w:t>The total authorized value for this Agreement shall not exceed $1,080,000.00. The billing model is ARC.</w:t>
      </w:r>
    </w:p>
    <w:p>
      <w:pPr>
        <w:spacing w:after="120" w:line="240" w:lineRule="auto"/>
      </w:pPr>
      <w:r>
        <w:rPr>
          <w:rFonts w:ascii="Times New Roman" w:hAnsi="Times New Roman"/>
          <w:b/>
          <w:i w:val="0"/>
          <w:sz w:val="21"/>
          <w:u w:val="single"/>
        </w:rPr>
        <w:t>Annual Recurring Commitment Pricing</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tcMar>
              <w:top w:w="80" w:type="dxa"/>
              <w:left w:w="80" w:type="dxa"/>
              <w:bottom w:w="80" w:type="dxa"/>
              <w:right w:w="80" w:type="dxa"/>
            </w:tcMar>
          </w:tcPr>
          <w:p>
            <w:pPr>
              <w:spacing w:after="0"/>
            </w:pPr>
            <w:r/>
            <w:r>
              <w:rPr>
                <w:rFonts w:ascii="Times New Roman" w:hAnsi="Times New Roman"/>
                <w:b/>
                <w:sz w:val="18"/>
              </w:rPr>
              <w:t>Item</w:t>
            </w:r>
          </w:p>
        </w:tc>
        <w:tc>
          <w:tcPr>
            <w:tcW w:type="dxa" w:w="2498"/>
            <w:vAlign w:val="top"/>
            <w:tcMar>
              <w:top w:w="80" w:type="dxa"/>
              <w:left w:w="80" w:type="dxa"/>
              <w:bottom w:w="80" w:type="dxa"/>
              <w:right w:w="80" w:type="dxa"/>
            </w:tcMar>
          </w:tcPr>
          <w:p>
            <w:pPr>
              <w:spacing w:after="0"/>
            </w:pPr>
            <w:r/>
            <w:r>
              <w:rPr>
                <w:rFonts w:ascii="Times New Roman" w:hAnsi="Times New Roman"/>
                <w:b/>
                <w:sz w:val="18"/>
              </w:rPr>
              <w:t>Amount (USD)</w:t>
            </w:r>
          </w:p>
        </w:tc>
        <w:tc>
          <w:tcPr>
            <w:tcW w:type="dxa" w:w="2498"/>
            <w:vAlign w:val="top"/>
            <w:tcMar>
              <w:top w:w="80" w:type="dxa"/>
              <w:left w:w="80" w:type="dxa"/>
              <w:bottom w:w="80" w:type="dxa"/>
              <w:right w:w="80" w:type="dxa"/>
            </w:tcMar>
          </w:tcPr>
          <w:p>
            <w:pPr>
              <w:spacing w:after="0"/>
            </w:pPr>
            <w:r/>
            <w:r>
              <w:rPr>
                <w:rFonts w:ascii="Times New Roman" w:hAnsi="Times New Roman"/>
                <w:b/>
                <w:sz w:val="18"/>
              </w:rPr>
              <w:t>Frequency</w:t>
            </w:r>
          </w:p>
        </w:tc>
        <w:tc>
          <w:tcPr>
            <w:tcW w:type="dxa" w:w="2498"/>
            <w:vAlign w:val="top"/>
            <w:tcMar>
              <w:top w:w="80" w:type="dxa"/>
              <w:left w:w="80" w:type="dxa"/>
              <w:bottom w:w="80" w:type="dxa"/>
              <w:right w:w="80" w:type="dxa"/>
            </w:tcMar>
          </w:tcPr>
          <w:p>
            <w:pPr>
              <w:spacing w:after="0"/>
            </w:pPr>
            <w:r/>
            <w:r>
              <w:rPr>
                <w:rFonts w:ascii="Times New Roman" w:hAnsi="Times New Roman"/>
                <w:b/>
                <w:sz w:val="18"/>
              </w:rPr>
              <w:t>Billing Rule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Monthly ARC floor</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$70,000.00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Billed in arrears each month</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Annual recurring commitment</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$840,000.00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Annual</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Minimum commitment for contract year</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Approved expansion capacity</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$2,800.00 per support day</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As approved</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Billed when expansion support is ordered</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Maximum authorized spend</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$1,080,000.00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Contract term</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Requires written authorization above ARC floor</w:t>
            </w:r>
          </w:p>
        </w:tc>
      </w:tr>
    </w:tbl>
    <w:p>
      <w:pPr>
        <w:spacing w:after="40"/>
      </w:pPr>
    </w:p>
    <w:p>
      <w:pPr>
        <w:spacing w:after="120" w:line="240" w:lineRule="auto"/>
        <w:jc w:val="center"/>
      </w:pPr>
      <w:r>
        <w:rPr>
          <w:rFonts w:ascii="Times New Roman" w:hAnsi="Times New Roman"/>
          <w:b/>
          <w:i w:val="0"/>
          <w:sz w:val="23"/>
          <w:u w:val="single"/>
        </w:rPr>
        <w:t>EXHIBIT C</w:t>
      </w:r>
    </w:p>
    <w:p>
      <w:pPr>
        <w:spacing w:after="120" w:line="240" w:lineRule="auto"/>
        <w:jc w:val="center"/>
      </w:pPr>
      <w:r>
        <w:rPr>
          <w:rFonts w:ascii="Times New Roman" w:hAnsi="Times New Roman"/>
          <w:b/>
          <w:i w:val="0"/>
          <w:sz w:val="23"/>
          <w:u w:val="single"/>
        </w:rPr>
        <w:t>SERVICE LEVELS, KPIS, AND BILLING CONTROLS</w:t>
      </w:r>
    </w:p>
    <w:p>
      <w:pPr>
        <w:spacing w:after="120" w:line="240" w:lineRule="auto"/>
      </w:pPr>
      <w:r>
        <w:rPr>
          <w:rFonts w:ascii="Times New Roman" w:hAnsi="Times New Roman"/>
          <w:b/>
          <w:i w:val="0"/>
          <w:sz w:val="21"/>
          <w:u w:val="single"/>
        </w:rPr>
        <w:t>Service Levels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Metric</w:t>
            </w:r>
          </w:p>
        </w:tc>
        <w:tc>
          <w:tcPr>
            <w:tcW w:type="dxa" w:w="3331"/>
            <w:vAlign w:val="top"/>
            <w:tcMar>
              <w:top w:w="80" w:type="dxa"/>
              <w:left w:w="80" w:type="dxa"/>
              <w:bottom w:w="80" w:type="dxa"/>
              <w:right w:w="80" w:type="dxa"/>
            </w:tcMar>
          </w:tcPr>
          <w:p>
            <w:pPr>
              <w:spacing w:after="0"/>
            </w:pPr>
            <w:r/>
            <w:r>
              <w:rPr>
                <w:rFonts w:ascii="Times New Roman" w:hAnsi="Times New Roman"/>
                <w:b/>
                <w:sz w:val="18"/>
              </w:rPr>
              <w:t>Target</w:t>
            </w:r>
          </w:p>
        </w:tc>
        <w:tc>
          <w:tcPr>
            <w:tcW w:type="dxa" w:w="3331"/>
            <w:vAlign w:val="top"/>
            <w:tcMar>
              <w:top w:w="80" w:type="dxa"/>
              <w:left w:w="80" w:type="dxa"/>
              <w:bottom w:w="80" w:type="dxa"/>
              <w:right w:w="80" w:type="dxa"/>
            </w:tcMar>
          </w:tcPr>
          <w:p>
            <w:pPr>
              <w:spacing w:after="0"/>
            </w:pPr>
            <w:r/>
            <w:r>
              <w:rPr>
                <w:rFonts w:ascii="Times New Roman" w:hAnsi="Times New Roman"/>
                <w:b/>
                <w:sz w:val="18"/>
              </w:rPr>
              <w:t>Measurement Method</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Digital platform monitoring coverage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24x5 with weekend escalation</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Run calendar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Priority 1 response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45 minutes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Incident register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Quarterly true-up report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10th business day after quarter end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ARC ledger</w:t>
            </w:r>
          </w:p>
        </w:tc>
      </w:tr>
    </w:tbl>
    <w:p>
      <w:pPr>
        <w:spacing w:after="40"/>
      </w:pPr>
    </w:p>
    <w:p>
      <w:pPr>
        <w:spacing w:after="120" w:line="240" w:lineRule="auto"/>
      </w:pPr>
      <w:r>
        <w:rPr>
          <w:rFonts w:ascii="Times New Roman" w:hAnsi="Times New Roman"/>
          <w:b/>
          <w:i w:val="0"/>
          <w:sz w:val="21"/>
          <w:u w:val="single"/>
        </w:rPr>
        <w:t>Key Performance Indicators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KPI</w:t>
            </w:r>
          </w:p>
        </w:tc>
        <w:tc>
          <w:tcPr>
            <w:tcW w:type="dxa" w:w="3331"/>
            <w:vAlign w:val="top"/>
            <w:tcMar>
              <w:top w:w="80" w:type="dxa"/>
              <w:left w:w="80" w:type="dxa"/>
              <w:bottom w:w="80" w:type="dxa"/>
              <w:right w:w="80" w:type="dxa"/>
            </w:tcMar>
          </w:tcPr>
          <w:p>
            <w:pPr>
              <w:spacing w:after="0"/>
            </w:pPr>
            <w:r/>
            <w:r>
              <w:rPr>
                <w:rFonts w:ascii="Times New Roman" w:hAnsi="Times New Roman"/>
                <w:b/>
                <w:sz w:val="18"/>
              </w:rPr>
              <w:t>Target</w:t>
            </w:r>
          </w:p>
        </w:tc>
        <w:tc>
          <w:tcPr>
            <w:tcW w:type="dxa" w:w="3331"/>
            <w:vAlign w:val="top"/>
            <w:tcMar>
              <w:top w:w="80" w:type="dxa"/>
              <w:left w:w="80" w:type="dxa"/>
              <w:bottom w:w="80" w:type="dxa"/>
              <w:right w:w="80" w:type="dxa"/>
            </w:tcMar>
          </w:tcPr>
          <w:p>
            <w:pPr>
              <w:spacing w:after="0"/>
            </w:pPr>
            <w:r/>
            <w:r>
              <w:rPr>
                <w:rFonts w:ascii="Times New Roman" w:hAnsi="Times New Roman"/>
                <w:b/>
                <w:sz w:val="18"/>
              </w:rPr>
              <w:t>Source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Monthly run report delivered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100%</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Governance log</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Commitment ledger variance reconciled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100%</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Quarterly true-up</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Unauthorized expansion billing</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0</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Order authorization log</w:t>
            </w:r>
          </w:p>
        </w:tc>
      </w:tr>
    </w:tbl>
    <w:p>
      <w:pPr>
        <w:spacing w:after="40"/>
      </w:pPr>
    </w:p>
    <w:p>
      <w:pPr>
        <w:spacing w:after="120" w:line="240" w:lineRule="auto"/>
      </w:pPr>
      <w:r>
        <w:rPr>
          <w:rFonts w:ascii="Times New Roman" w:hAnsi="Times New Roman"/>
          <w:b/>
          <w:i w:val="0"/>
          <w:sz w:val="21"/>
          <w:u w:val="single"/>
        </w:rPr>
        <w:t>Billing Controls</w:t>
      </w:r>
    </w:p>
    <w:p>
      <w:pPr>
        <w:spacing w:after="40" w:line="240" w:lineRule="auto"/>
        <w:ind w:left="936" w:hanging="360"/>
      </w:pPr>
      <w:r>
        <w:rPr>
          <w:rFonts w:ascii="Times New Roman" w:hAnsi="Times New Roman"/>
          <w:sz w:val="21"/>
        </w:rPr>
        <w:t>1.  The monthly ARC floor is payable even if actual consumption is below the floor.</w:t>
      </w:r>
    </w:p>
    <w:p>
      <w:pPr>
        <w:spacing w:after="40" w:line="240" w:lineRule="auto"/>
        <w:ind w:left="936" w:hanging="360"/>
      </w:pPr>
      <w:r>
        <w:rPr>
          <w:rFonts w:ascii="Times New Roman" w:hAnsi="Times New Roman"/>
          <w:sz w:val="21"/>
        </w:rPr>
        <w:t>2.  Expansion services above the floor require a written order or approved change request.</w:t>
      </w:r>
    </w:p>
    <w:p>
      <w:pPr>
        <w:spacing w:after="40" w:line="240" w:lineRule="auto"/>
        <w:ind w:left="936" w:hanging="360"/>
      </w:pPr>
      <w:r>
        <w:rPr>
          <w:rFonts w:ascii="Times New Roman" w:hAnsi="Times New Roman"/>
          <w:sz w:val="21"/>
        </w:rPr>
        <w:t>3.  Invoices must reference Morgan Hale as the customer attention and include the ARC consumption ledger.</w:t>
      </w:r>
    </w:p>
    <w:p>
      <w:pPr>
        <w:spacing w:after="120" w:line="240" w:lineRule="auto"/>
        <w:jc w:val="center"/>
      </w:pPr>
      <w:r>
        <w:rPr>
          <w:rFonts w:ascii="Times New Roman" w:hAnsi="Times New Roman"/>
          <w:b/>
          <w:i w:val="0"/>
          <w:sz w:val="23"/>
          <w:u w:val="single"/>
        </w:rPr>
        <w:t>EXHIBIT D</w:t>
      </w:r>
    </w:p>
    <w:p>
      <w:pPr>
        <w:spacing w:after="120" w:line="240" w:lineRule="auto"/>
        <w:jc w:val="center"/>
      </w:pPr>
      <w:r>
        <w:rPr>
          <w:rFonts w:ascii="Times New Roman" w:hAnsi="Times New Roman"/>
          <w:b/>
          <w:i w:val="0"/>
          <w:sz w:val="23"/>
          <w:u w:val="single"/>
        </w:rPr>
        <w:t>KEY PERSONNEL AND GOVERNANCE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Role</w:t>
            </w:r>
          </w:p>
        </w:tc>
        <w:tc>
          <w:tcPr>
            <w:tcW w:type="dxa" w:w="3331"/>
            <w:vAlign w:val="top"/>
            <w:tcMar>
              <w:top w:w="80" w:type="dxa"/>
              <w:left w:w="80" w:type="dxa"/>
              <w:bottom w:w="80" w:type="dxa"/>
              <w:right w:w="80" w:type="dxa"/>
            </w:tcMar>
          </w:tcPr>
          <w:p>
            <w:pPr>
              <w:spacing w:after="0"/>
            </w:pPr>
            <w:r/>
            <w:r>
              <w:rPr>
                <w:rFonts w:ascii="Times New Roman" w:hAnsi="Times New Roman"/>
                <w:b/>
                <w:sz w:val="18"/>
              </w:rPr>
              <w:t>Name</w:t>
            </w:r>
          </w:p>
        </w:tc>
        <w:tc>
          <w:tcPr>
            <w:tcW w:type="dxa" w:w="3331"/>
            <w:vAlign w:val="top"/>
            <w:tcMar>
              <w:top w:w="80" w:type="dxa"/>
              <w:left w:w="80" w:type="dxa"/>
              <w:bottom w:w="80" w:type="dxa"/>
              <w:right w:w="80" w:type="dxa"/>
            </w:tcMar>
          </w:tcPr>
          <w:p>
            <w:pPr>
              <w:spacing w:after="0"/>
            </w:pPr>
            <w:r/>
            <w:r>
              <w:rPr>
                <w:rFonts w:ascii="Times New Roman" w:hAnsi="Times New Roman"/>
                <w:b/>
                <w:sz w:val="18"/>
              </w:rPr>
              <w:t>Responsibility</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Customer Contract Manager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Morgan Hale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Approves services, accepts billing events, and appears on invoices as Attention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Principal in Charge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Leena Rao</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Executive escalation and commercial governance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Project Manager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Arjun Mehta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Day-to-day delivery, reports, and invoice support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Billing Contact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Billing Operations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Invoice preparation and remittance support</w:t>
            </w:r>
          </w:p>
        </w:tc>
      </w:tr>
    </w:tbl>
    <w:p>
      <w:pPr>
        <w:spacing w:after="40"/>
      </w:pPr>
    </w:p>
    <w:p>
      <w:pPr>
        <w:spacing w:after="120" w:line="240" w:lineRule="auto"/>
      </w:pPr>
      <w:r>
        <w:rPr>
          <w:rFonts w:ascii="Times New Roman" w:hAnsi="Times New Roman"/>
          <w:b w:val="0"/>
          <w:i w:val="0"/>
          <w:sz w:val="21"/>
          <w:u w:val="none"/>
        </w:rPr>
        <w:t>Governance meetings shall occur monthly unless the parties agree to a more frequent cadence for delivery risk, cap utilization, acceptance review, or service-level remediation.</w:t>
      </w:r>
    </w:p>
    <w:sectPr w:rsidR="00FC693F" w:rsidRPr="0006063C" w:rsidSect="00034616">
      <w:pgSz w:w="12240" w:h="15840"/>
      <w:pgMar w:top="1080"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i/>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