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SVC-ERP-2026-001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TERRABUILD INFRASTRUCTURE LLC, hereinafter called CUSTOMER, and AXION TECHNOLOGIES LIMITED, hereinafter called CONSULTANT for ERP Rollout, Integration, and Hypercare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provide ERP rollout, module integration, production stabilization, and monthly hypercare services for TerraBuild,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TERRABUILD INFRASTRUCTURE LLC</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ERP Program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$1,521,000.00, payable as a monthly ERP services amount of $126,750.00 in arrears. Each monthly invoice shall identify the ERP modules supported, key performance indicators, and service-level performance.</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June 30, 2027,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TERRABUILD INFRASTRUCTURE LLC</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TerraBuild under the ERP Based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ERP-1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Support finance, procurement, inventory, and project-costing modules.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Module support tracker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ERP-2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Manage integration monitoring for payroll, banking, and project ledger feeds.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Interface health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ERP-3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Provide hypercare desk, defect triage, and close-cycle command-center support.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Hypercare and defect aging report</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$1,521,000.00. The billing model is ERP Based.</w:t>
      </w:r>
    </w:p>
    <w:p>
      <w:pPr>
        <w:spacing w:after="120" w:line="240" w:lineRule="auto"/>
      </w:pPr>
      <w:r>
        <w:rPr>
          <w:rFonts w:ascii="Times New Roman" w:hAnsi="Times New Roman"/>
          <w:b/>
          <w:i w:val="0"/>
          <w:sz w:val="21"/>
          <w:u w:val="single"/>
        </w:rPr>
        <w:t>Monthly ERP Based Amount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No.</w:t>
            </w:r>
          </w:p>
        </w:tc>
        <w:tc>
          <w:tcPr>
            <w:tcW w:type="dxa" w:w="2498"/>
            <w:vAlign w:val="top"/>
            <w:tcMar>
              <w:top w:w="80" w:type="dxa"/>
              <w:left w:w="80" w:type="dxa"/>
              <w:bottom w:w="80" w:type="dxa"/>
              <w:right w:w="80" w:type="dxa"/>
            </w:tcMar>
          </w:tcPr>
          <w:p>
            <w:pPr>
              <w:spacing w:after="0"/>
            </w:pPr>
            <w:r/>
            <w:r>
              <w:rPr>
                <w:rFonts w:ascii="Times New Roman" w:hAnsi="Times New Roman"/>
                <w:b/>
                <w:sz w:val="18"/>
              </w:rPr>
              <w:t>Service Month</w:t>
            </w:r>
          </w:p>
        </w:tc>
        <w:tc>
          <w:tcPr>
            <w:tcW w:type="dxa" w:w="2498"/>
            <w:vAlign w:val="top"/>
            <w:tcMar>
              <w:top w:w="80" w:type="dxa"/>
              <w:left w:w="80" w:type="dxa"/>
              <w:bottom w:w="80" w:type="dxa"/>
              <w:right w:w="80" w:type="dxa"/>
            </w:tcMar>
          </w:tcPr>
          <w:p>
            <w:pPr>
              <w:spacing w:after="0"/>
            </w:pPr>
            <w:r/>
            <w:r>
              <w:rPr>
                <w:rFonts w:ascii="Times New Roman" w:hAnsi="Times New Roman"/>
                <w:b/>
                <w:sz w:val="18"/>
              </w:rPr>
              <w:t>Amount (USD)</w:t>
            </w:r>
          </w:p>
        </w:tc>
        <w:tc>
          <w:tcPr>
            <w:tcW w:type="dxa" w:w="2498"/>
            <w:vAlign w:val="top"/>
            <w:tcMar>
              <w:top w:w="80" w:type="dxa"/>
              <w:left w:w="80" w:type="dxa"/>
              <w:bottom w:w="80" w:type="dxa"/>
              <w:right w:w="80" w:type="dxa"/>
            </w:tcMar>
          </w:tcPr>
          <w:p>
            <w:pPr>
              <w:spacing w:after="0"/>
            </w:pPr>
            <w:r/>
            <w:r>
              <w:rPr>
                <w:rFonts w:ascii="Times New Roman" w:hAnsi="Times New Roman"/>
                <w:b/>
                <w:sz w:val="18"/>
              </w:rPr>
              <w:t>Billing Trigger</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July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August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3</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September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4</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October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5</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November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December 2026</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January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8</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February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9</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March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April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11</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May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12</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June 2027</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$126,750.00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Monthly ERP rollout, integration, and hypercare charge</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ERP production availability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99.5% monthly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Measured excluding approved maintenance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Critical interface success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98.5% daily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Payroll, bank, inventory, and ledger feeds</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Priority 1 ERP response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 hour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Incident opened and customer notified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Month-end close support window</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 staffed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Close calendar approved by customer</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Critical defects aged over 10 business days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Zero unless customer deferred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Defect register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Successful scheduled batch jobs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98.5% or greater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Batch monitor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User access requests completed within SLA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95% or greater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Access queue</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The monthly ERP amount covers the named ERP modules and approved integrations only.</w:t>
      </w:r>
    </w:p>
    <w:p>
      <w:pPr>
        <w:spacing w:after="40" w:line="240" w:lineRule="auto"/>
        <w:ind w:left="936" w:hanging="360"/>
      </w:pPr>
      <w:r>
        <w:rPr>
          <w:rFonts w:ascii="Times New Roman" w:hAnsi="Times New Roman"/>
          <w:sz w:val="21"/>
        </w:rPr>
        <w:t>2.  New module activation, new country rollout, or custom development requires written change authorization.</w:t>
      </w:r>
    </w:p>
    <w:p>
      <w:pPr>
        <w:spacing w:after="40" w:line="240" w:lineRule="auto"/>
        <w:ind w:left="936" w:hanging="360"/>
      </w:pPr>
      <w:r>
        <w:rPr>
          <w:rFonts w:ascii="Times New Roman" w:hAnsi="Times New Roman"/>
          <w:sz w:val="21"/>
        </w:rPr>
        <w:t>3.  Invoices must reference Morgan Hale as the customer attention and attach the monthly ERP KPI report.</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