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SVC-CAP-2026-001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APEX BIORESEARCH LABS INC., hereinafter called CUSTOMER, and AXION TECHNOLOGIES LIMITED, hereinafter called CONSULTANT for Validation Program Time and Materials Over Cap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perform validation, test-script execution, defect triage, and regulatory evidence support under a time-and-materials cap,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APEX BIORESEARCH LABS INC.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Validation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$560,000.00. Consultant may bill approved time and materials up to the monthly cap. Hours above the cap are billable only after written approval from the customer manager.</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APEX BIORESEARCH LABS INC.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Apex BioResearch under the Time and Materials Over Cap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CAP-1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Execute approved validation scripts and document pass/fail evidence.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Validation evidence pack</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CAP-2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Resolve validation defects through L2 and L3 support assignments.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Defect closure register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CAP-3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Monitor monthly cap utilization and request approval before over-cap work.</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Cap utilization report</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$560,000.00. The billing model is Time and Materials Over Cap.</w:t>
      </w:r>
    </w:p>
    <w:p>
      <w:pPr>
        <w:spacing w:after="120" w:line="240" w:lineRule="auto"/>
      </w:pPr>
      <w:r>
        <w:rPr>
          <w:rFonts w:ascii="Times New Roman" w:hAnsi="Times New Roman"/>
          <w:b/>
          <w:i w:val="0"/>
          <w:sz w:val="21"/>
          <w:u w:val="single"/>
        </w:rPr>
        <w:t>Hourly Rate and Cap Schedule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Resource Level</w:t>
            </w:r>
          </w:p>
        </w:tc>
        <w:tc>
          <w:tcPr>
            <w:tcW w:type="dxa" w:w="2498"/>
            <w:vAlign w:val="top"/>
            <w:tcMar>
              <w:top w:w="80" w:type="dxa"/>
              <w:left w:w="80" w:type="dxa"/>
              <w:bottom w:w="80" w:type="dxa"/>
              <w:right w:w="80" w:type="dxa"/>
            </w:tcMar>
          </w:tcPr>
          <w:p>
            <w:pPr>
              <w:spacing w:after="0"/>
            </w:pPr>
            <w:r/>
            <w:r>
              <w:rPr>
                <w:rFonts w:ascii="Times New Roman" w:hAnsi="Times New Roman"/>
                <w:b/>
                <w:sz w:val="18"/>
              </w:rPr>
              <w:t>Base Hourly Rate</w:t>
            </w:r>
          </w:p>
        </w:tc>
        <w:tc>
          <w:tcPr>
            <w:tcW w:type="dxa" w:w="2498"/>
            <w:vAlign w:val="top"/>
            <w:tcMar>
              <w:top w:w="80" w:type="dxa"/>
              <w:left w:w="80" w:type="dxa"/>
              <w:bottom w:w="80" w:type="dxa"/>
              <w:right w:w="80" w:type="dxa"/>
            </w:tcMar>
          </w:tcPr>
          <w:p>
            <w:pPr>
              <w:spacing w:after="0"/>
            </w:pPr>
            <w:r/>
            <w:r>
              <w:rPr>
                <w:rFonts w:ascii="Times New Roman" w:hAnsi="Times New Roman"/>
                <w:b/>
                <w:sz w:val="18"/>
              </w:rPr>
              <w:t>Over-Cap Hourly Rate</w:t>
            </w:r>
          </w:p>
        </w:tc>
        <w:tc>
          <w:tcPr>
            <w:tcW w:type="dxa" w:w="2498"/>
            <w:vAlign w:val="top"/>
            <w:tcMar>
              <w:top w:w="80" w:type="dxa"/>
              <w:left w:w="80" w:type="dxa"/>
              <w:bottom w:w="80" w:type="dxa"/>
              <w:right w:w="80" w:type="dxa"/>
            </w:tcMar>
          </w:tcPr>
          <w:p>
            <w:pPr>
              <w:spacing w:after="0"/>
            </w:pPr>
            <w:r/>
            <w:r>
              <w:rPr>
                <w:rFonts w:ascii="Times New Roman" w:hAnsi="Times New Roman"/>
                <w:b/>
                <w:sz w:val="18"/>
              </w:rPr>
              <w:t>Monthly Cap Rule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$110.00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Included until monthly cap is consumed</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$165.00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$175.00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Included until monthly cap is consumed</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L3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$210.00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$225.00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Included until monthly cap is consumed</w:t>
            </w:r>
          </w:p>
        </w:tc>
      </w:tr>
    </w:tbl>
    <w:p>
      <w:pPr>
        <w:spacing w:after="40"/>
      </w:pPr>
    </w:p>
    <w:p>
      <w:pPr>
        <w:spacing w:after="120" w:line="240" w:lineRule="auto"/>
      </w:pPr>
      <w:r>
        <w:rPr>
          <w:rFonts w:ascii="Times New Roman" w:hAnsi="Times New Roman"/>
          <w:b/>
          <w:i w:val="0"/>
          <w:sz w:val="21"/>
          <w:u w:val="single"/>
        </w:rPr>
        <w:t>Monthly Cap and Approved Over-Cap Detail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Item</w:t>
            </w:r>
          </w:p>
        </w:tc>
        <w:tc>
          <w:tcPr>
            <w:tcW w:type="dxa" w:w="2498"/>
            <w:vAlign w:val="top"/>
            <w:tcMar>
              <w:top w:w="80" w:type="dxa"/>
              <w:left w:w="80" w:type="dxa"/>
              <w:bottom w:w="80" w:type="dxa"/>
              <w:right w:w="80" w:type="dxa"/>
            </w:tcMar>
          </w:tcPr>
          <w:p>
            <w:pPr>
              <w:spacing w:after="0"/>
            </w:pPr>
            <w:r/>
            <w:r>
              <w:rPr>
                <w:rFonts w:ascii="Times New Roman" w:hAnsi="Times New Roman"/>
                <w:b/>
                <w:sz w:val="18"/>
              </w:rPr>
              <w:t>Amount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Approval Requirement</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Treatment</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Monthly T&amp;M cap</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$32,000.00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Standing authorization</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for approved hours up to cap</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Approved over-cap pool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$2,225.00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Written customer approval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only after approval</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Sample July 2026 total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$34,225.00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Cap report plus approval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Invoice support required</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Cap utilization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Weekly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Report shows approved hours, cap burn, and forecast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Over-cap approval request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Before work beyond cap</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Email or signed change approval</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Defect triage response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 business day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Validation defect queue</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Over-cap hours without approval</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Cap approval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Validation evidence completeness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Evidence checklist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High-priority defects aged over 5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 unless customer deferred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Defect register</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Over-cap work cannot begin until the customer manager approves the estimated hours and level mix.</w:t>
      </w:r>
    </w:p>
    <w:p>
      <w:pPr>
        <w:spacing w:after="40" w:line="240" w:lineRule="auto"/>
        <w:ind w:left="936" w:hanging="360"/>
      </w:pPr>
      <w:r>
        <w:rPr>
          <w:rFonts w:ascii="Times New Roman" w:hAnsi="Times New Roman"/>
          <w:sz w:val="21"/>
        </w:rPr>
        <w:t>2.  The invoice must separate base-cap hours and over-cap hours by L1, L2, and L3 rate.</w:t>
      </w:r>
    </w:p>
    <w:p>
      <w:pPr>
        <w:spacing w:after="40" w:line="240" w:lineRule="auto"/>
        <w:ind w:left="936" w:hanging="360"/>
      </w:pPr>
      <w:r>
        <w:rPr>
          <w:rFonts w:ascii="Times New Roman" w:hAnsi="Times New Roman"/>
          <w:sz w:val="21"/>
        </w:rPr>
        <w:t>3.  Invoices must reference Morgan Hale as the customer attention and include the cap utilization report.</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