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KodexCC ISO 9001</w:t>
      </w:r>
    </w:p>
    <w:p>
      <w:pPr>
        <w:pStyle w:val="Subtitle"/>
      </w:pPr>
      <w:r>
        <w:t xml:space="preserve">How the system works</w:t>
      </w:r>
    </w:p>
    <w:p>
      <w:pPr>
        <w:pStyle w:val="Body"/>
      </w:pPr>
      <w:r>
        <w:t xml:space="preserve">There is one quality system for the company. Waterproofing records are filed under department Resin. Sealant records are filed under department Silicone sealant. Suppliers, incoming material, and management review are shared.</w:t>
      </w:r>
    </w:p>
    <w:p>
      <w:pPr>
        <w:pStyle w:val="Body"/>
      </w:pPr>
      <w:r>
        <w:t xml:space="preserve">Staff sign in at the admin panel. Each person sees only the menus for their job.</w:t>
      </w:r>
    </w:p>
    <w:p>
      <w:pPr>
        <w:pStyle w:val="Heading1"/>
      </w:pPr>
      <w:r>
        <w:t xml:space="preserve">What each menu is for</w:t>
      </w:r>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r>
        <w:tc>
          <w:tcPr>
            <w:tcW w:w="3120" w:type="dxa"/>
            <w:shd w:val="clear" w:color="auto" w:fill="07111F"/>
          </w:tcPr>
          <w:p>
            <w:r>
              <w:rPr>
                <w:b/>
                <w:color w:val="FFFFFF"/>
                <w:sz w:val="20"/>
              </w:rPr>
              <w:t xml:space="preserve">Menu</w:t>
            </w:r>
          </w:p>
        </w:tc>
        <w:tc>
          <w:tcPr>
            <w:tcW w:w="3120" w:type="dxa"/>
            <w:shd w:val="clear" w:color="auto" w:fill="07111F"/>
          </w:tcPr>
          <w:p>
            <w:r>
              <w:rPr>
                <w:b/>
                <w:color w:val="FFFFFF"/>
                <w:sz w:val="20"/>
              </w:rPr>
              <w:t xml:space="preserve">What is recorded</w:t>
            </w:r>
          </w:p>
        </w:tc>
        <w:tc>
          <w:tcPr>
            <w:tcW w:w="3120" w:type="dxa"/>
            <w:shd w:val="clear" w:color="auto" w:fill="07111F"/>
          </w:tcPr>
          <w:p>
            <w:r>
              <w:rPr>
                <w:b/>
                <w:color w:val="FFFFFF"/>
                <w:sz w:val="20"/>
              </w:rPr>
              <w:t xml:space="preserve">Who uses it</w:t>
            </w:r>
          </w:p>
        </w:tc>
      </w:tr>
      <w:tr>
        <w:tc>
          <w:tcPr>
            <w:tcW w:w="3120" w:type="dxa"/>
          </w:tcPr>
          <w:p>
            <w:r>
              <w:rPr>
                <w:sz w:val="20"/>
              </w:rPr>
              <w:t xml:space="preserve">Overview</w:t>
            </w:r>
          </w:p>
        </w:tc>
        <w:tc>
          <w:tcPr>
            <w:tcW w:w="3120" w:type="dxa"/>
          </w:tcPr>
          <w:p>
            <w:r>
              <w:rPr>
                <w:sz w:val="20"/>
              </w:rPr>
              <w:t xml:space="preserve">Items waiting for action</w:t>
            </w:r>
          </w:p>
        </w:tc>
        <w:tc>
          <w:tcPr>
            <w:tcW w:w="3120" w:type="dxa"/>
          </w:tcPr>
          <w:p>
            <w:r>
              <w:rPr>
                <w:sz w:val="20"/>
              </w:rPr>
              <w:t xml:space="preserve">Everyone, for their own work</w:t>
            </w:r>
          </w:p>
        </w:tc>
      </w:tr>
      <w:tr>
        <w:tc>
          <w:tcPr>
            <w:tcW w:w="3120" w:type="dxa"/>
          </w:tcPr>
          <w:p>
            <w:r>
              <w:rPr>
                <w:sz w:val="20"/>
              </w:rPr>
              <w:t xml:space="preserve">Documents</w:t>
            </w:r>
          </w:p>
        </w:tc>
        <w:tc>
          <w:tcPr>
            <w:tcW w:w="3120" w:type="dxa"/>
          </w:tcPr>
          <w:p>
            <w:r>
              <w:rPr>
                <w:sz w:val="20"/>
              </w:rPr>
              <w:t xml:space="preserve">Approved procedures staff must follow</w:t>
            </w:r>
          </w:p>
        </w:tc>
        <w:tc>
          <w:tcPr>
            <w:tcW w:w="3120" w:type="dxa"/>
          </w:tcPr>
          <w:p>
            <w:r>
              <w:rPr>
                <w:sz w:val="20"/>
              </w:rPr>
              <w:t xml:space="preserve">ISO Manager writes; Prabu or Jaswinder approve</w:t>
            </w:r>
          </w:p>
        </w:tc>
      </w:tr>
      <w:tr>
        <w:tc>
          <w:tcPr>
            <w:tcW w:w="3120" w:type="dxa"/>
          </w:tcPr>
          <w:p>
            <w:r>
              <w:rPr>
                <w:sz w:val="20"/>
              </w:rPr>
              <w:t xml:space="preserve">Training</w:t>
            </w:r>
          </w:p>
        </w:tc>
        <w:tc>
          <w:tcPr>
            <w:tcW w:w="3120" w:type="dxa"/>
          </w:tcPr>
          <w:p>
            <w:r>
              <w:rPr>
                <w:sz w:val="20"/>
              </w:rPr>
              <w:t xml:space="preserve">Proof a person was trained on a procedure</w:t>
            </w:r>
          </w:p>
        </w:tc>
        <w:tc>
          <w:tcPr>
            <w:tcW w:w="3120" w:type="dxa"/>
          </w:tcPr>
          <w:p>
            <w:r>
              <w:rPr>
                <w:sz w:val="20"/>
              </w:rPr>
              <w:t xml:space="preserve">ISO Manager</w:t>
            </w:r>
          </w:p>
        </w:tc>
      </w:tr>
      <w:tr>
        <w:tc>
          <w:tcPr>
            <w:tcW w:w="3120" w:type="dxa"/>
          </w:tcPr>
          <w:p>
            <w:r>
              <w:rPr>
                <w:sz w:val="20"/>
              </w:rPr>
              <w:t xml:space="preserve">Suppliers</w:t>
            </w:r>
          </w:p>
        </w:tc>
        <w:tc>
          <w:tcPr>
            <w:tcW w:w="3120" w:type="dxa"/>
          </w:tcPr>
          <w:p>
            <w:r>
              <w:rPr>
                <w:sz w:val="20"/>
              </w:rPr>
              <w:t xml:space="preserve">Approved supplier companies</w:t>
            </w:r>
          </w:p>
        </w:tc>
        <w:tc>
          <w:tcPr>
            <w:tcW w:w="3120" w:type="dxa"/>
          </w:tcPr>
          <w:p>
            <w:r>
              <w:rPr>
                <w:sz w:val="20"/>
              </w:rPr>
              <w:t xml:space="preserve">Parminder</w:t>
            </w:r>
          </w:p>
        </w:tc>
      </w:tr>
      <w:tr>
        <w:tc>
          <w:tcPr>
            <w:tcW w:w="3120" w:type="dxa"/>
          </w:tcPr>
          <w:p>
            <w:r>
              <w:rPr>
                <w:sz w:val="20"/>
              </w:rPr>
              <w:t xml:space="preserve">Materials</w:t>
            </w:r>
          </w:p>
        </w:tc>
        <w:tc>
          <w:tcPr>
            <w:tcW w:w="3120" w:type="dxa"/>
          </w:tcPr>
          <w:p>
            <w:r>
              <w:rPr>
                <w:sz w:val="20"/>
              </w:rPr>
              <w:t xml:space="preserve">What each supplier provides</w:t>
            </w:r>
          </w:p>
        </w:tc>
        <w:tc>
          <w:tcPr>
            <w:tcW w:w="3120" w:type="dxa"/>
          </w:tcPr>
          <w:p>
            <w:r>
              <w:rPr>
                <w:sz w:val="20"/>
              </w:rPr>
              <w:t xml:space="preserve">Parminder</w:t>
            </w:r>
          </w:p>
        </w:tc>
      </w:tr>
      <w:tr>
        <w:tc>
          <w:tcPr>
            <w:tcW w:w="3120" w:type="dxa"/>
          </w:tcPr>
          <w:p>
            <w:r>
              <w:rPr>
                <w:sz w:val="20"/>
              </w:rPr>
              <w:t xml:space="preserve">Incoming material</w:t>
            </w:r>
          </w:p>
        </w:tc>
        <w:tc>
          <w:tcPr>
            <w:tcW w:w="3120" w:type="dxa"/>
          </w:tcPr>
          <w:p>
            <w:r>
              <w:rPr>
                <w:sz w:val="20"/>
              </w:rPr>
              <w:t xml:space="preserve">A delivery when goods arrive</w:t>
            </w:r>
          </w:p>
        </w:tc>
        <w:tc>
          <w:tcPr>
            <w:tcW w:w="3120" w:type="dxa"/>
          </w:tcPr>
          <w:p>
            <w:r>
              <w:rPr>
                <w:sz w:val="20"/>
              </w:rPr>
              <w:t xml:space="preserve">Parminder enters it; Rohit checks it</w:t>
            </w:r>
          </w:p>
        </w:tc>
      </w:tr>
      <w:tr>
        <w:tc>
          <w:tcPr>
            <w:tcW w:w="3120" w:type="dxa"/>
          </w:tcPr>
          <w:p>
            <w:r>
              <w:rPr>
                <w:sz w:val="20"/>
              </w:rPr>
              <w:t xml:space="preserve">Production</w:t>
            </w:r>
          </w:p>
        </w:tc>
        <w:tc>
          <w:tcPr>
            <w:tcW w:w="3120" w:type="dxa"/>
          </w:tcPr>
          <w:p>
            <w:r>
              <w:rPr>
                <w:sz w:val="20"/>
              </w:rPr>
              <w:t xml:space="preserve">A production batch</w:t>
            </w:r>
          </w:p>
        </w:tc>
        <w:tc>
          <w:tcPr>
            <w:tcW w:w="3120" w:type="dxa"/>
          </w:tcPr>
          <w:p>
            <w:r>
              <w:rPr>
                <w:sz w:val="20"/>
              </w:rPr>
              <w:t xml:space="preserve">Parthiban for sealant batches</w:t>
            </w:r>
          </w:p>
        </w:tc>
      </w:tr>
      <w:tr>
        <w:tc>
          <w:tcPr>
            <w:tcW w:w="3120" w:type="dxa"/>
          </w:tcPr>
          <w:p>
            <w:r>
              <w:rPr>
                <w:sz w:val="20"/>
              </w:rPr>
              <w:t xml:space="preserve">QC inspections</w:t>
            </w:r>
          </w:p>
        </w:tc>
        <w:tc>
          <w:tcPr>
            <w:tcW w:w="3120" w:type="dxa"/>
          </w:tcPr>
          <w:p>
            <w:r>
              <w:rPr>
                <w:sz w:val="20"/>
              </w:rPr>
              <w:t xml:space="preserve">Pass or fail of incoming goods or a batch</w:t>
            </w:r>
          </w:p>
        </w:tc>
        <w:tc>
          <w:tcPr>
            <w:tcW w:w="3120" w:type="dxa"/>
          </w:tcPr>
          <w:p>
            <w:r>
              <w:rPr>
                <w:sz w:val="20"/>
              </w:rPr>
              <w:t xml:space="preserve">Rohit; Parthiban can record production checks</w:t>
            </w:r>
          </w:p>
        </w:tc>
      </w:tr>
      <w:tr>
        <w:tc>
          <w:tcPr>
            <w:tcW w:w="3120" w:type="dxa"/>
          </w:tcPr>
          <w:p>
            <w:r>
              <w:rPr>
                <w:sz w:val="20"/>
              </w:rPr>
              <w:t xml:space="preserve">Non-conformance</w:t>
            </w:r>
          </w:p>
        </w:tc>
        <w:tc>
          <w:tcPr>
            <w:tcW w:w="3120" w:type="dxa"/>
          </w:tcPr>
          <w:p>
            <w:r>
              <w:rPr>
                <w:sz w:val="20"/>
              </w:rPr>
              <w:t xml:space="preserve">What went wrong</w:t>
            </w:r>
          </w:p>
        </w:tc>
        <w:tc>
          <w:tcPr>
            <w:tcW w:w="3120" w:type="dxa"/>
          </w:tcPr>
          <w:p>
            <w:r>
              <w:rPr>
                <w:sz w:val="20"/>
              </w:rPr>
              <w:t xml:space="preserve">ISO Manager</w:t>
            </w:r>
          </w:p>
        </w:tc>
      </w:tr>
      <w:tr>
        <w:tc>
          <w:tcPr>
            <w:tcW w:w="3120" w:type="dxa"/>
          </w:tcPr>
          <w:p>
            <w:r>
              <w:rPr>
                <w:sz w:val="20"/>
              </w:rPr>
              <w:t xml:space="preserve">Corrective action</w:t>
            </w:r>
          </w:p>
        </w:tc>
        <w:tc>
          <w:tcPr>
            <w:tcW w:w="3120" w:type="dxa"/>
          </w:tcPr>
          <w:p>
            <w:r>
              <w:rPr>
                <w:sz w:val="20"/>
              </w:rPr>
              <w:t xml:space="preserve">The fix, the owner, and the due date</w:t>
            </w:r>
          </w:p>
        </w:tc>
        <w:tc>
          <w:tcPr>
            <w:tcW w:w="3120" w:type="dxa"/>
          </w:tcPr>
          <w:p>
            <w:r>
              <w:rPr>
                <w:sz w:val="20"/>
              </w:rPr>
              <w:t xml:space="preserve">ISO Manager writes it; Prabu or Jaswinder confirm it</w:t>
            </w:r>
          </w:p>
        </w:tc>
      </w:tr>
      <w:tr>
        <w:tc>
          <w:tcPr>
            <w:tcW w:w="3120" w:type="dxa"/>
          </w:tcPr>
          <w:p>
            <w:r>
              <w:rPr>
                <w:sz w:val="20"/>
              </w:rPr>
              <w:t xml:space="preserve">Maintenance</w:t>
            </w:r>
          </w:p>
        </w:tc>
        <w:tc>
          <w:tcPr>
            <w:tcW w:w="3120" w:type="dxa"/>
          </w:tcPr>
          <w:p>
            <w:r>
              <w:rPr>
                <w:sz w:val="20"/>
              </w:rPr>
              <w:t xml:space="preserve">Machine servicing</w:t>
            </w:r>
          </w:p>
        </w:tc>
        <w:tc>
          <w:tcPr>
            <w:tcW w:w="3120" w:type="dxa"/>
          </w:tcPr>
          <w:p>
            <w:r>
              <w:rPr>
                <w:sz w:val="20"/>
              </w:rPr>
              <w:t xml:space="preserve">Manohar</w:t>
            </w:r>
          </w:p>
        </w:tc>
      </w:tr>
      <w:tr>
        <w:tc>
          <w:tcPr>
            <w:tcW w:w="3120" w:type="dxa"/>
          </w:tcPr>
          <w:p>
            <w:r>
              <w:rPr>
                <w:sz w:val="20"/>
              </w:rPr>
              <w:t xml:space="preserve">Internal audit</w:t>
            </w:r>
          </w:p>
        </w:tc>
        <w:tc>
          <w:tcPr>
            <w:tcW w:w="3120" w:type="dxa"/>
          </w:tcPr>
          <w:p>
            <w:r>
              <w:rPr>
                <w:sz w:val="20"/>
              </w:rPr>
              <w:t xml:space="preserve">A check that the process is being followed</w:t>
            </w:r>
          </w:p>
        </w:tc>
        <w:tc>
          <w:tcPr>
            <w:tcW w:w="3120" w:type="dxa"/>
          </w:tcPr>
          <w:p>
            <w:r>
              <w:rPr>
                <w:sz w:val="20"/>
              </w:rPr>
              <w:t xml:space="preserve">ISO Manager</w:t>
            </w:r>
          </w:p>
        </w:tc>
      </w:tr>
      <w:tr>
        <w:tc>
          <w:tcPr>
            <w:tcW w:w="3120" w:type="dxa"/>
          </w:tcPr>
          <w:p>
            <w:r>
              <w:rPr>
                <w:sz w:val="20"/>
              </w:rPr>
              <w:t xml:space="preserve">Complaints</w:t>
            </w:r>
          </w:p>
        </w:tc>
        <w:tc>
          <w:tcPr>
            <w:tcW w:w="3120" w:type="dxa"/>
          </w:tcPr>
          <w:p>
            <w:r>
              <w:rPr>
                <w:sz w:val="20"/>
              </w:rPr>
              <w:t xml:space="preserve">A customer problem</w:t>
            </w:r>
          </w:p>
        </w:tc>
        <w:tc>
          <w:tcPr>
            <w:tcW w:w="3120" w:type="dxa"/>
          </w:tcPr>
          <w:p>
            <w:r>
              <w:rPr>
                <w:sz w:val="20"/>
              </w:rPr>
              <w:t xml:space="preserve">Super Admin records it; a product fault becomes a non-conformance</w:t>
            </w:r>
          </w:p>
        </w:tc>
      </w:tr>
      <w:tr>
        <w:tc>
          <w:tcPr>
            <w:tcW w:w="3120" w:type="dxa"/>
          </w:tcPr>
          <w:p>
            <w:r>
              <w:rPr>
                <w:sz w:val="20"/>
              </w:rPr>
              <w:t xml:space="preserve">Management review</w:t>
            </w:r>
          </w:p>
        </w:tc>
        <w:tc>
          <w:tcPr>
            <w:tcW w:w="3120" w:type="dxa"/>
          </w:tcPr>
          <w:p>
            <w:r>
              <w:rPr>
                <w:sz w:val="20"/>
              </w:rPr>
              <w:t xml:space="preserve">The management meeting and decisions</w:t>
            </w:r>
          </w:p>
        </w:tc>
        <w:tc>
          <w:tcPr>
            <w:tcW w:w="3120" w:type="dxa"/>
          </w:tcPr>
          <w:p>
            <w:r>
              <w:rPr>
                <w:sz w:val="20"/>
              </w:rPr>
              <w:t xml:space="preserve">Prabu and Jaswinder</w:t>
            </w:r>
          </w:p>
        </w:tc>
      </w:tr>
    </w:tbl>
    <w:p>
      <w:pPr>
        <w:pStyle w:val="Body"/>
      </w:pPr>
      <w:r>
        <w:t xml:space="preserve"/>
      </w:r>
    </w:p>
    <w:p>
      <w:pPr>
        <w:pStyle w:val="Heading1"/>
      </w:pPr>
      <w:r>
        <w:t xml:space="preserve">Normal path</w:t>
      </w:r>
    </w:p>
    <w:p>
      <w:pPr>
        <w:pStyle w:val="Body"/>
      </w:pPr>
      <w:r>
        <w:t xml:space="preserve">1. The procedure is written under Documents and approved.</w:t>
      </w:r>
    </w:p>
    <w:p>
      <w:pPr>
        <w:pStyle w:val="Body"/>
      </w:pPr>
      <w:r>
        <w:t xml:space="preserve">2. The people who must follow it are recorded under Training.</w:t>
      </w:r>
    </w:p>
    <w:p>
      <w:pPr>
        <w:pStyle w:val="Body"/>
      </w:pPr>
      <w:r>
        <w:t xml:space="preserve">3. Parminder keeps Suppliers and Materials.</w:t>
      </w:r>
    </w:p>
    <w:p>
      <w:pPr>
        <w:pStyle w:val="Body"/>
      </w:pPr>
      <w:r>
        <w:t xml:space="preserve">4. When goods arrive, Parminder adds Incoming material. It stays pending.</w:t>
      </w:r>
    </w:p>
    <w:p>
      <w:pPr>
        <w:pStyle w:val="Body"/>
      </w:pPr>
      <w:r>
        <w:t xml:space="preserve">5. Rohit opens QC inspections and marks that lot pass or fail.</w:t>
      </w:r>
    </w:p>
    <w:p>
      <w:pPr>
        <w:pStyle w:val="Body"/>
      </w:pPr>
      <w:r>
        <w:t xml:space="preserve">6. Passed material can be used. Parthiban records the Production batch. Rohit can inspect the batch the same way.</w:t>
      </w:r>
    </w:p>
    <w:p>
      <w:pPr>
        <w:pStyle w:val="Heading1"/>
      </w:pPr>
      <w:r>
        <w:t xml:space="preserve">When something fails</w:t>
      </w:r>
    </w:p>
    <w:p>
      <w:pPr>
        <w:pStyle w:val="Body"/>
      </w:pPr>
      <w:r>
        <w:t xml:space="preserve">1. Rohit marks the inspection Fail.</w:t>
      </w:r>
    </w:p>
    <w:p>
      <w:pPr>
        <w:pStyle w:val="Body"/>
      </w:pPr>
      <w:r>
        <w:t xml:space="preserve">2. The ISO Manager opens a Non-conformance for that lot or batch.</w:t>
      </w:r>
    </w:p>
    <w:p>
      <w:pPr>
        <w:pStyle w:val="Body"/>
      </w:pPr>
      <w:r>
        <w:t xml:space="preserve">3. The ISO Manager opens a Corrective action: what will be done, who will do it, and the due date.</w:t>
      </w:r>
    </w:p>
    <w:p>
      <w:pPr>
        <w:pStyle w:val="Body"/>
      </w:pPr>
      <w:r>
        <w:t xml:space="preserve">4. Prabu or Jaswinder confirm the action under Corrective action.</w:t>
      </w:r>
    </w:p>
    <w:p>
      <w:pPr>
        <w:pStyle w:val="Body"/>
      </w:pPr>
      <w:r>
        <w:t xml:space="preserve">5. The non-conformance is then closed.</w:t>
      </w:r>
    </w:p>
    <w:p>
      <w:pPr>
        <w:pStyle w:val="Body"/>
      </w:pPr>
      <w:r>
        <w:t xml:space="preserve">A customer complaint or a failed internal audit follows the same last three steps: non-conformance, corrective action, then management confirmation.</w:t>
      </w:r>
    </w:p>
    <w:p>
      <w:pPr>
        <w:pStyle w:val="Heading1"/>
      </w:pPr>
      <w:r>
        <w:t xml:space="preserve">Management review</w:t>
      </w:r>
    </w:p>
    <w:p>
      <w:pPr>
        <w:pStyle w:val="Body"/>
      </w:pPr>
      <w:r>
        <w:t xml:space="preserve">Management review uses those records. The meeting looks at open corrective actions, audits, complaints, and supplier problems, and the decision is saved in the system.</w:t>
      </w:r>
    </w:p>
    <w:sectPr>
      <w:pgSz w:w="12240" w:h="15840"/>
      <w:pgMar w:top="1134" w:right="1134" w:bottom="1134" w:left="1134"/>
    </w:sectPr>
  </w:body>
</w:document>
</file>

<file path=word/styles.xml><?xml version="1.0" encoding="utf-8"?>
<w:styles xmlns:w="http://schemas.openxmlformats.org/wordprocessingml/2006/main">
  <w:style w:type="paragraph" w:styleId="Title">
    <w:name w:val="Title"/>
    <w:rPr>
      <w:b/>
      <w:sz w:val="40"/>
      <w:color w:val="07111F"/>
    </w:rPr>
    <w:pPr>
      <w:spacing w:after="80"/>
    </w:pPr>
  </w:style>
  <w:style w:type="paragraph" w:styleId="Subtitle">
    <w:name w:val="Subtitle"/>
    <w:rPr>
      <w:sz w:val="28"/>
      <w:color w:val="0F766E"/>
    </w:rPr>
    <w:pPr>
      <w:spacing w:after="240"/>
    </w:pPr>
  </w:style>
  <w:style w:type="paragraph" w:styleId="Heading1">
    <w:name w:val="heading 1"/>
    <w:rPr>
      <w:b/>
      <w:sz w:val="28"/>
      <w:color w:val="07111F"/>
    </w:rPr>
    <w:pPr>
      <w:spacing w:before="280" w:after="120"/>
    </w:pPr>
  </w:style>
  <w:style w:type="paragraph" w:styleId="Body">
    <w:name w:val="Body"/>
    <w:rPr>
      <w:sz w:val="22"/>
      <w:color w:val="111827"/>
    </w:rPr>
    <w:pPr>
      <w:spacing w:after="12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