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0"/>
        <w:rPr/>
      </w:pPr>
      <w:r>
        <w:rPr/>
      </w:r>
    </w:p>
    <w:p>
      <w:pPr>
        <w:pStyle w:val="Normal"/>
        <w:spacing w:before="0" w:after="300"/>
        <w:rPr/>
      </w:pPr>
      <w:r>
        <w:rPr>
          <w:b/>
          <w:bCs/>
          <w:color w:val="1C7293"/>
          <w:spacing w:val="40"/>
          <w:sz w:val="20"/>
          <w:szCs w:val="20"/>
        </w:rPr>
        <w:t>PROPOSAL PACKAGE  |  DOCUMENT 07</w:t>
      </w:r>
    </w:p>
    <w:p>
      <w:pPr>
        <w:pStyle w:val="Normal"/>
        <w:spacing w:before="0" w:after="200"/>
        <w:rPr/>
      </w:pPr>
      <w:r>
        <w:rPr>
          <w:b/>
          <w:bCs/>
          <w:color w:val="1E2761"/>
          <w:sz w:val="60"/>
          <w:szCs w:val="60"/>
        </w:rPr>
        <w:t>Data Onboarding and Integration Guide</w:t>
      </w:r>
    </w:p>
    <w:p>
      <w:pPr>
        <w:pStyle w:val="Normal"/>
        <w:spacing w:before="0" w:after="600"/>
        <w:rPr/>
      </w:pPr>
      <w:r>
        <w:rPr>
          <w:color w:val="5A6270"/>
          <w:sz w:val="28"/>
          <w:szCs w:val="28"/>
        </w:rPr>
        <w:t>How the client plugs real documents, contacts and systems into the platform later, without rebuilding anything</w:t>
      </w:r>
    </w:p>
    <w:tbl>
      <w:tblPr>
        <w:tblW w:w="6000" w:type="dxa"/>
        <w:jc w:val="left"/>
        <w:tblInd w:w="0" w:type="dxa"/>
        <w:tblLayout w:type="fixed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1800"/>
        <w:gridCol w:w="4199"/>
      </w:tblGrid>
      <w:tr>
        <w:trPr/>
        <w:tc>
          <w:tcPr>
            <w:tcW w:w="1800" w:type="dxa"/>
            <w:tcBorders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  <w:sz w:val="20"/>
                <w:szCs w:val="20"/>
              </w:rPr>
              <w:t>Document</w:t>
            </w:r>
          </w:p>
        </w:tc>
        <w:tc>
          <w:tcPr>
            <w:tcW w:w="4199" w:type="dxa"/>
            <w:tcBorders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color w:val="5A6270"/>
                <w:sz w:val="20"/>
                <w:szCs w:val="20"/>
              </w:rPr>
              <w:t>07 of 15</w:t>
            </w:r>
          </w:p>
        </w:tc>
      </w:tr>
      <w:tr>
        <w:trPr/>
        <w:tc>
          <w:tcPr>
            <w:tcW w:w="1800" w:type="dxa"/>
            <w:tcBorders>
              <w:top w:val="single" w:sz="4" w:space="0" w:color="DDDDDD"/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  <w:sz w:val="20"/>
                <w:szCs w:val="20"/>
              </w:rPr>
              <w:t>Audience</w:t>
            </w:r>
          </w:p>
        </w:tc>
        <w:tc>
          <w:tcPr>
            <w:tcW w:w="4199" w:type="dxa"/>
            <w:tcBorders>
              <w:top w:val="single" w:sz="4" w:space="0" w:color="DDDDDD"/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color w:val="5A6270"/>
                <w:sz w:val="20"/>
                <w:szCs w:val="20"/>
              </w:rPr>
              <w:t>Client IT and operations, product owner, delivery team</w:t>
            </w:r>
          </w:p>
        </w:tc>
      </w:tr>
      <w:tr>
        <w:trPr/>
        <w:tc>
          <w:tcPr>
            <w:tcW w:w="1800" w:type="dxa"/>
            <w:tcBorders>
              <w:top w:val="single" w:sz="4" w:space="0" w:color="DDDDDD"/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  <w:sz w:val="20"/>
                <w:szCs w:val="20"/>
              </w:rPr>
              <w:t>Version</w:t>
            </w:r>
          </w:p>
        </w:tc>
        <w:tc>
          <w:tcPr>
            <w:tcW w:w="4199" w:type="dxa"/>
            <w:tcBorders>
              <w:top w:val="single" w:sz="4" w:space="0" w:color="DDDDDD"/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color w:val="5A6270"/>
                <w:sz w:val="20"/>
                <w:szCs w:val="20"/>
              </w:rPr>
              <w:t>1.0 (first-meeting edition)</w:t>
            </w:r>
          </w:p>
        </w:tc>
      </w:tr>
      <w:tr>
        <w:trPr/>
        <w:tc>
          <w:tcPr>
            <w:tcW w:w="1800" w:type="dxa"/>
            <w:tcBorders>
              <w:top w:val="single" w:sz="4" w:space="0" w:color="DDDDDD"/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  <w:sz w:val="20"/>
                <w:szCs w:val="20"/>
              </w:rPr>
              <w:t>Date</w:t>
            </w:r>
          </w:p>
        </w:tc>
        <w:tc>
          <w:tcPr>
            <w:tcW w:w="4199" w:type="dxa"/>
            <w:tcBorders>
              <w:top w:val="single" w:sz="4" w:space="0" w:color="DDDDDD"/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color w:val="5A6270"/>
                <w:sz w:val="20"/>
                <w:szCs w:val="20"/>
              </w:rPr>
              <w:t>September 2026</w:t>
            </w:r>
          </w:p>
        </w:tc>
      </w:tr>
      <w:tr>
        <w:trPr/>
        <w:tc>
          <w:tcPr>
            <w:tcW w:w="1800" w:type="dxa"/>
            <w:tcBorders>
              <w:top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  <w:sz w:val="20"/>
                <w:szCs w:val="20"/>
              </w:rPr>
              <w:t>Classification</w:t>
            </w:r>
          </w:p>
        </w:tc>
        <w:tc>
          <w:tcPr>
            <w:tcW w:w="4199" w:type="dxa"/>
            <w:tcBorders>
              <w:top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color w:val="5A6270"/>
                <w:sz w:val="20"/>
                <w:szCs w:val="20"/>
              </w:rPr>
              <w:t>Confidential - prepared for the client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bCs/>
          <w:color w:val="1E2761"/>
          <w:sz w:val="32"/>
          <w:szCs w:val="32"/>
        </w:rPr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840"/>
              <w:tab w:val="right" w:pos="983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2551_3719902292">
            <w:r>
              <w:rPr>
                <w:rStyle w:val="IndexLink"/>
              </w:rPr>
              <w:t>1. The commitment</w:t>
              <w:tab/>
              <w:t>3</w:t>
            </w:r>
          </w:hyperlink>
        </w:p>
        <w:p>
          <w:pPr>
            <w:pStyle w:val="TOC1"/>
            <w:tabs>
              <w:tab w:val="clear" w:pos="9840"/>
              <w:tab w:val="right" w:pos="9839" w:leader="dot"/>
            </w:tabs>
            <w:rPr/>
          </w:pPr>
          <w:hyperlink w:anchor="__RefHeading___Toc2553_3719902292">
            <w:r>
              <w:rPr>
                <w:rStyle w:val="IndexLink"/>
              </w:rPr>
              <w:t>2. Five mechanisms that make this true</w:t>
              <w:tab/>
              <w:t>3</w:t>
            </w:r>
          </w:hyperlink>
        </w:p>
        <w:p>
          <w:pPr>
            <w:pStyle w:val="TOC2"/>
            <w:tabs>
              <w:tab w:val="clear" w:pos="9557"/>
              <w:tab w:val="right" w:pos="9839" w:leader="dot"/>
            </w:tabs>
            <w:rPr/>
          </w:pPr>
          <w:hyperlink w:anchor="__RefHeading___Toc2555_3719902292">
            <w:r>
              <w:rPr>
                <w:rStyle w:val="IndexLink"/>
              </w:rPr>
              <w:t>2.1 Schema-first data model with custom fields</w:t>
              <w:tab/>
              <w:t>3</w:t>
            </w:r>
          </w:hyperlink>
        </w:p>
        <w:p>
          <w:pPr>
            <w:pStyle w:val="TOC2"/>
            <w:tabs>
              <w:tab w:val="clear" w:pos="9557"/>
              <w:tab w:val="right" w:pos="9839" w:leader="dot"/>
            </w:tabs>
            <w:rPr/>
          </w:pPr>
          <w:hyperlink w:anchor="__RefHeading___Toc2557_3719902292">
            <w:r>
              <w:rPr>
                <w:rStyle w:val="IndexLink"/>
              </w:rPr>
              <w:t>2.2 Configuration-driven business rules</w:t>
              <w:tab/>
              <w:t>3</w:t>
            </w:r>
          </w:hyperlink>
        </w:p>
        <w:p>
          <w:pPr>
            <w:pStyle w:val="TOC2"/>
            <w:tabs>
              <w:tab w:val="clear" w:pos="9557"/>
              <w:tab w:val="right" w:pos="9839" w:leader="dot"/>
            </w:tabs>
            <w:rPr/>
          </w:pPr>
          <w:hyperlink w:anchor="__RefHeading___Toc2559_3719902292">
            <w:r>
              <w:rPr>
                <w:rStyle w:val="IndexLink"/>
              </w:rPr>
              <w:t>2.3 Import templates with preview</w:t>
              <w:tab/>
              <w:t>3</w:t>
            </w:r>
          </w:hyperlink>
        </w:p>
        <w:p>
          <w:pPr>
            <w:pStyle w:val="TOC2"/>
            <w:tabs>
              <w:tab w:val="clear" w:pos="9557"/>
              <w:tab w:val="right" w:pos="9839" w:leader="dot"/>
            </w:tabs>
            <w:rPr/>
          </w:pPr>
          <w:hyperlink w:anchor="__RefHeading___Toc2561_3719902292">
            <w:r>
              <w:rPr>
                <w:rStyle w:val="IndexLink"/>
              </w:rPr>
              <w:t>2.4 Connectors</w:t>
              <w:tab/>
              <w:t>3</w:t>
            </w:r>
          </w:hyperlink>
        </w:p>
        <w:p>
          <w:pPr>
            <w:pStyle w:val="TOC2"/>
            <w:tabs>
              <w:tab w:val="clear" w:pos="9557"/>
              <w:tab w:val="right" w:pos="9839" w:leader="dot"/>
            </w:tabs>
            <w:rPr/>
          </w:pPr>
          <w:hyperlink w:anchor="__RefHeading___Toc2563_3719902292">
            <w:r>
              <w:rPr>
                <w:rStyle w:val="IndexLink"/>
              </w:rPr>
              <w:t>2.5 Demo data is removable</w:t>
              <w:tab/>
              <w:t>4</w:t>
            </w:r>
          </w:hyperlink>
        </w:p>
        <w:p>
          <w:pPr>
            <w:pStyle w:val="TOC1"/>
            <w:tabs>
              <w:tab w:val="clear" w:pos="9840"/>
              <w:tab w:val="right" w:pos="9839" w:leader="dot"/>
            </w:tabs>
            <w:rPr/>
          </w:pPr>
          <w:hyperlink w:anchor="__RefHeading___Toc2565_3719902292">
            <w:r>
              <w:rPr>
                <w:rStyle w:val="IndexLink"/>
              </w:rPr>
              <w:t>3. Onboarding sequence for real data</w:t>
              <w:tab/>
              <w:t>4</w:t>
            </w:r>
          </w:hyperlink>
        </w:p>
        <w:p>
          <w:pPr>
            <w:pStyle w:val="TOC1"/>
            <w:tabs>
              <w:tab w:val="clear" w:pos="9840"/>
              <w:tab w:val="right" w:pos="9839" w:leader="dot"/>
            </w:tabs>
            <w:rPr/>
          </w:pPr>
          <w:hyperlink w:anchor="__RefHeading___Toc2567_3719902292">
            <w:r>
              <w:rPr>
                <w:rStyle w:val="IndexLink"/>
              </w:rPr>
              <w:t>4. Data quality rules built in</w:t>
              <w:tab/>
              <w:t>4</w:t>
            </w:r>
          </w:hyperlink>
        </w:p>
        <w:p>
          <w:pPr>
            <w:pStyle w:val="TOC1"/>
            <w:tabs>
              <w:tab w:val="clear" w:pos="9840"/>
              <w:tab w:val="right" w:pos="9839" w:leader="dot"/>
            </w:tabs>
            <w:rPr/>
          </w:pPr>
          <w:hyperlink w:anchor="__RefHeading___Toc2569_3719902292">
            <w:r>
              <w:rPr>
                <w:rStyle w:val="IndexLink"/>
              </w:rPr>
              <w:t>5. Getting data out</w:t>
              <w:tab/>
              <w:t>5</w:t>
            </w:r>
          </w:hyperlink>
        </w:p>
        <w:p>
          <w:pPr>
            <w:pStyle w:val="TOC1"/>
            <w:tabs>
              <w:tab w:val="clear" w:pos="9840"/>
              <w:tab w:val="right" w:pos="9839" w:leader="dot"/>
            </w:tabs>
            <w:rPr/>
          </w:pPr>
          <w:hyperlink w:anchor="__RefHeading___Toc2571_3719902292">
            <w:r>
              <w:rPr>
                <w:rStyle w:val="IndexLink"/>
              </w:rPr>
              <w:t>6. What the client should prepare (checklist)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2551_3719902292"/>
      <w:bookmarkEnd w:id="0"/>
      <w:r>
        <w:rPr/>
        <w:t>1. The commitment</w:t>
      </w:r>
    </w:p>
    <w:tbl>
      <w:tblPr>
        <w:tblW w:w="984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840"/>
      </w:tblGrid>
      <w:tr>
        <w:trPr/>
        <w:tc>
          <w:tcPr>
            <w:tcW w:w="9840" w:type="dxa"/>
            <w:tcBorders>
              <w:top w:val="single" w:sz="6" w:space="0" w:color="1C7293"/>
              <w:left w:val="single" w:sz="24" w:space="0" w:color="1C7293"/>
              <w:bottom w:val="single" w:sz="6" w:space="0" w:color="1C7293"/>
              <w:right w:val="single" w:sz="6" w:space="0" w:color="1C7293"/>
            </w:tcBorders>
            <w:shd w:color="auto" w:fill="EEF2FA" w:val="clear"/>
          </w:tcPr>
          <w:p>
            <w:pPr>
              <w:pStyle w:val="Normal"/>
              <w:spacing w:lineRule="exact" w:line="264" w:before="0" w:after="60"/>
              <w:rPr/>
            </w:pPr>
            <w:r>
              <w:rPr>
                <w:color w:val="1E2761"/>
                <w:sz w:val="20"/>
                <w:szCs w:val="20"/>
              </w:rPr>
              <w:t xml:space="preserve">The demo will run on sample data. When the client is ready, real data enters through </w:t>
            </w:r>
            <w:r>
              <w:rPr>
                <w:b/>
                <w:bCs/>
                <w:color w:val="1E2761"/>
                <w:sz w:val="20"/>
                <w:szCs w:val="20"/>
              </w:rPr>
              <w:t>configuration, import templates and connectors</w:t>
            </w:r>
            <w:r>
              <w:rPr>
                <w:color w:val="1E2761"/>
                <w:sz w:val="20"/>
                <w:szCs w:val="20"/>
              </w:rPr>
              <w:t>. No code changes are needed to add fields, stages, categories, decision types, document folders or mailboxes.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spacing w:before="360" w:after="160"/>
        <w:rPr/>
      </w:pPr>
      <w:bookmarkStart w:id="1" w:name="__RefHeading___Toc2553_3719902292"/>
      <w:bookmarkEnd w:id="1"/>
      <w:r>
        <w:rPr/>
        <w:t>2. Five mechanisms that make this true</w:t>
      </w:r>
    </w:p>
    <w:p>
      <w:pPr>
        <w:pStyle w:val="Heading2"/>
        <w:spacing w:before="280" w:after="120"/>
        <w:rPr/>
      </w:pPr>
      <w:bookmarkStart w:id="2" w:name="__RefHeading___Toc2555_3719902292"/>
      <w:bookmarkEnd w:id="2"/>
      <w:r>
        <w:rPr/>
        <w:t>2.1 Schema-first data model with custom fields</w:t>
      </w:r>
    </w:p>
    <w:p>
      <w:pPr>
        <w:pStyle w:val="Normal"/>
        <w:spacing w:lineRule="exact" w:line="276" w:before="0" w:after="120"/>
        <w:rPr/>
      </w:pPr>
      <w:r>
        <w:rPr/>
        <w:t>Every core record (organisation, person, relationship, document, claim, follow-up, outreach request) has a fixed set of well-understood columns plus a "custom fields" area. An administrator defines a new field (name, type, validation, which category it applies to) in the interface; it appears in forms, imports, filters and reports immediately.</w:t>
      </w:r>
    </w:p>
    <w:p>
      <w:pPr>
        <w:pStyle w:val="Heading2"/>
        <w:spacing w:before="280" w:after="120"/>
        <w:rPr/>
      </w:pPr>
      <w:bookmarkStart w:id="3" w:name="__RefHeading___Toc2557_3719902292"/>
      <w:bookmarkEnd w:id="3"/>
      <w:r>
        <w:rPr/>
        <w:t>2.2 Configuration-driven business rules</w:t>
      </w:r>
    </w:p>
    <w:tbl>
      <w:tblPr>
        <w:tblW w:w="984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952"/>
        <w:gridCol w:w="6887"/>
      </w:tblGrid>
      <w:tr>
        <w:trPr>
          <w:tblHeader w:val="true"/>
        </w:trPr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Configurable item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Examples</w:t>
            </w:r>
          </w:p>
        </w:tc>
      </w:tr>
      <w:tr>
        <w:trPr/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Categories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Investor, partner/counterparty, customer/member; sub-types such as sovereign fund, family office, bank, EPC contractor</w:t>
            </w:r>
          </w:p>
        </w:tc>
      </w:tr>
      <w:tr>
        <w:trPr/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Pipelines and stages per category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GCC relationship pipeline: introduction through intermediary; first majlis or meeting; NDA; qualification; active discussion; term sheet or MoU; regulatory or board approval; signed; dormant. Each stage has SLA days and exit criteria.</w:t>
            </w:r>
          </w:p>
        </w:tc>
      </w:tr>
      <w:tr>
        <w:trPr/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Decision types and evidence checklists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"Approve contract" needs signed contract, board minute, budget line, legal opinion. "Investor commitment" needs KYC file, subscription agreement, source-of-funds letter.</w:t>
            </w:r>
          </w:p>
        </w:tc>
      </w:tr>
      <w:tr>
        <w:trPr/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Approval policies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Who approves outreach per category; minimum approvers; escalation time; restricted recipients</w:t>
            </w:r>
          </w:p>
        </w:tc>
      </w:tr>
      <w:tr>
        <w:trPr/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Classification and routing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Which document folders are "restricted"; which model handles which classification</w:t>
            </w:r>
          </w:p>
        </w:tc>
      </w:tr>
      <w:tr>
        <w:trPr/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Reminder policies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Days before due, digest time, escalation to manager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bookmarkStart w:id="4" w:name="__RefHeading___Toc2559_3719902292"/>
      <w:bookmarkEnd w:id="4"/>
      <w:r>
        <w:rPr/>
        <w:t>2.3 Import templates with preview</w:t>
      </w:r>
    </w:p>
    <w:p>
      <w:pPr>
        <w:pStyle w:val="Normal"/>
        <w:spacing w:lineRule="exact" w:line="276" w:before="0" w:after="120"/>
        <w:rPr/>
      </w:pPr>
      <w:r>
        <w:rPr/>
        <w:t>For contacts, organisations, relationships, historical interactions and a document manifest. Process: download template (CSV/XLSX) -&gt; fill or map columns from an export -&gt; upload -&gt; validation preview (duplicates, missing required fields, unknown stages) -&gt; confirm -&gt; import log. Re-imports update rather than duplicate, keyed by external id or email.</w:t>
      </w:r>
    </w:p>
    <w:p>
      <w:pPr>
        <w:pStyle w:val="Heading2"/>
        <w:spacing w:before="280" w:after="120"/>
        <w:rPr/>
      </w:pPr>
      <w:bookmarkStart w:id="5" w:name="__RefHeading___Toc2561_3719902292"/>
      <w:bookmarkEnd w:id="5"/>
      <w:r>
        <w:rPr/>
        <w:t>2.4 Connectors</w:t>
      </w:r>
    </w:p>
    <w:tbl>
      <w:tblPr>
        <w:tblW w:w="984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952"/>
        <w:gridCol w:w="6887"/>
      </w:tblGrid>
      <w:tr>
        <w:trPr>
          <w:tblHeader w:val="true"/>
        </w:trPr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What is synced</w:t>
            </w:r>
          </w:p>
        </w:tc>
      </w:tr>
      <w:tr>
        <w:trPr/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SharePoint / OneDrive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Selected libraries and folders; new and changed files; permissions mirrored to document access lists</w:t>
            </w:r>
          </w:p>
        </w:tc>
      </w:tr>
      <w:tr>
        <w:trPr/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Google Drive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Selected folders or shared drives</w:t>
            </w:r>
          </w:p>
        </w:tc>
      </w:tr>
      <w:tr>
        <w:trPr/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Microsoft 365 or Gmail mailbox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Selected folders for ingestion (for example "Investor correspondence"); send-as for approved outreach</w:t>
            </w:r>
          </w:p>
        </w:tc>
      </w:tr>
      <w:tr>
        <w:trPr/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Existing CRM (HubSpot, Salesforce, Dynamics, Zoho)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One-time export via template, or scheduled API sync for contacts and activities</w:t>
            </w:r>
          </w:p>
        </w:tc>
      </w:tr>
      <w:tr>
        <w:trPr/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ERP or finance system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Counterparty master data and contract references via export or API</w:t>
            </w:r>
          </w:p>
        </w:tc>
      </w:tr>
      <w:tr>
        <w:trPr/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Document management system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Metadata and files via API or export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bookmarkStart w:id="6" w:name="__RefHeading___Toc2563_3719902292"/>
      <w:bookmarkEnd w:id="6"/>
      <w:r>
        <w:rPr/>
        <w:t>2.5 Demo data is removable</w:t>
      </w:r>
    </w:p>
    <w:p>
      <w:pPr>
        <w:pStyle w:val="Normal"/>
        <w:spacing w:lineRule="exact" w:line="276" w:before="0" w:after="120"/>
        <w:rPr/>
      </w:pPr>
      <w:r>
        <w:rPr/>
        <w:t>All sample records carry an "is_demo" marker. One administrator action deletes demo records and their derived data (chunks, claims, findings) while keeping configuration, users and connectors. The corpus and pipelines are then empty and ready.</w:t>
      </w:r>
    </w:p>
    <w:p>
      <w:pPr>
        <w:pStyle w:val="Heading1"/>
        <w:spacing w:before="360" w:after="160"/>
        <w:rPr/>
      </w:pPr>
      <w:bookmarkStart w:id="7" w:name="__RefHeading___Toc2565_3719902292"/>
      <w:bookmarkEnd w:id="7"/>
      <w:r>
        <w:rPr/>
        <w:t>3. Onboarding sequence for real data</w:t>
      </w:r>
    </w:p>
    <w:p>
      <w:pPr>
        <w:pStyle w:val="ListParagraph"/>
        <w:numPr>
          <w:ilvl w:val="0"/>
          <w:numId w:val="4"/>
        </w:numPr>
        <w:spacing w:lineRule="exact" w:line="264" w:before="0" w:after="60"/>
        <w:rPr/>
      </w:pPr>
      <w:r>
        <w:rPr>
          <w:b/>
          <w:bCs/>
        </w:rPr>
        <w:t>Confirm data protection sign-off</w:t>
      </w:r>
      <w:r>
        <w:rPr/>
        <w:t xml:space="preserve"> (Document 08): lawful basis, classification rules, residency pattern.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Configure</w:t>
      </w:r>
      <w:r>
        <w:rPr/>
        <w:t xml:space="preserve"> categories, pipelines, decision types, approval policies, fields (half a day with the product owner).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Connect identity</w:t>
      </w:r>
      <w:r>
        <w:rPr/>
        <w:t xml:space="preserve"> so real users log in with single sign-on.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Import contacts and relationships</w:t>
      </w:r>
      <w:r>
        <w:rPr/>
        <w:t xml:space="preserve"> from the client's spreadsheet or CRM export using the templates; review the validation report; resolve duplicates using the merge tool.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Point connectors at document folders</w:t>
      </w:r>
      <w:r>
        <w:rPr/>
        <w:t>, starting with one well-organised library; watch ingestion status; review classification.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Review first findings</w:t>
      </w:r>
      <w:r>
        <w:rPr/>
        <w:t xml:space="preserve"> with management: confirm real contradictions, dismiss false ones, adjust tolerances.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Run the golden question set</w:t>
      </w:r>
      <w:r>
        <w:rPr/>
        <w:t xml:space="preserve"> on the real corpus; compare to targets; tune.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Connect the mailbox</w:t>
      </w:r>
      <w:r>
        <w:rPr/>
        <w:t xml:space="preserve"> for approved outreach; send a first approved message to an internal test recipient; verify audit entry.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Switch on reminders</w:t>
      </w:r>
      <w:r>
        <w:rPr/>
        <w:t xml:space="preserve"> and dashboards for pilot users.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Remove demo data.</w:t>
      </w:r>
    </w:p>
    <w:p>
      <w:pPr>
        <w:pStyle w:val="Heading1"/>
        <w:spacing w:before="360" w:after="160"/>
        <w:rPr/>
      </w:pPr>
      <w:bookmarkStart w:id="8" w:name="__RefHeading___Toc2567_3719902292"/>
      <w:bookmarkEnd w:id="8"/>
      <w:r>
        <w:rPr/>
        <w:t>4. Data quality rules built in</w:t>
      </w:r>
    </w:p>
    <w:p>
      <w:pPr>
        <w:pStyle w:val="ListParagraph"/>
        <w:numPr>
          <w:ilvl w:val="0"/>
          <w:numId w:val="5"/>
        </w:numPr>
        <w:spacing w:lineRule="exact" w:line="264" w:before="0" w:after="60"/>
        <w:rPr/>
      </w:pPr>
      <w:r>
        <w:rPr/>
        <w:t>De-duplication of organisations by legal name, registration number and aliases; of persons by email and phone; merge with history preserved.</w:t>
      </w:r>
    </w:p>
    <w:p>
      <w:pPr>
        <w:pStyle w:val="ListParagraph"/>
        <w:numPr>
          <w:ilvl w:val="0"/>
          <w:numId w:val="2"/>
        </w:numPr>
        <w:spacing w:lineRule="exact" w:line="264" w:before="0" w:after="60"/>
        <w:rPr/>
      </w:pPr>
      <w:r>
        <w:rPr/>
        <w:t>Document version detection by checksum, filename pattern and metadata; administrators confirm "supersedes" links so that superseded values are not flagged as contradictions.</w:t>
      </w:r>
    </w:p>
    <w:p>
      <w:pPr>
        <w:pStyle w:val="ListParagraph"/>
        <w:numPr>
          <w:ilvl w:val="0"/>
          <w:numId w:val="2"/>
        </w:numPr>
        <w:spacing w:lineRule="exact" w:line="264" w:before="0" w:after="60"/>
        <w:rPr/>
      </w:pPr>
      <w:r>
        <w:rPr/>
        <w:t>Mandatory fields per category (configurable). Consent status required before outreach to a person.</w:t>
      </w:r>
    </w:p>
    <w:p>
      <w:pPr>
        <w:pStyle w:val="ListParagraph"/>
        <w:numPr>
          <w:ilvl w:val="0"/>
          <w:numId w:val="2"/>
        </w:numPr>
        <w:spacing w:lineRule="exact" w:line="264" w:before="0" w:after="60"/>
        <w:rPr/>
      </w:pPr>
      <w:r>
        <w:rPr/>
        <w:t>Arabic and English names stored side by side; search matches either.</w:t>
      </w:r>
    </w:p>
    <w:p>
      <w:pPr>
        <w:pStyle w:val="Heading1"/>
        <w:spacing w:before="360" w:after="160"/>
        <w:rPr/>
      </w:pPr>
      <w:bookmarkStart w:id="9" w:name="__RefHeading___Toc2569_3719902292"/>
      <w:bookmarkEnd w:id="9"/>
      <w:r>
        <w:rPr/>
        <w:t>5. Getting data out</w:t>
      </w:r>
    </w:p>
    <w:p>
      <w:pPr>
        <w:pStyle w:val="Normal"/>
        <w:spacing w:lineRule="exact" w:line="276" w:before="0" w:after="120"/>
        <w:rPr/>
      </w:pPr>
      <w:r>
        <w:rPr/>
        <w:t>The client is never locked in: full export of every table to CSV or Parquet, all documents with their metadata, and all audit events. The API exposes every record. Database backups are in standard PostgreSQL format.</w:t>
      </w:r>
    </w:p>
    <w:p>
      <w:pPr>
        <w:pStyle w:val="Heading1"/>
        <w:spacing w:before="360" w:after="160"/>
        <w:rPr/>
      </w:pPr>
      <w:bookmarkStart w:id="10" w:name="__RefHeading___Toc2571_3719902292"/>
      <w:bookmarkEnd w:id="10"/>
      <w:r>
        <w:rPr/>
        <w:t>6. What the client should prepare (checklist)</w:t>
      </w:r>
    </w:p>
    <w:p>
      <w:pPr>
        <w:pStyle w:val="ListParagraph"/>
        <w:numPr>
          <w:ilvl w:val="0"/>
          <w:numId w:val="2"/>
        </w:numPr>
        <w:spacing w:lineRule="exact" w:line="264" w:before="0" w:after="60"/>
        <w:rPr/>
      </w:pPr>
      <w:r>
        <w:rPr/>
        <w:t>List of document sources (folders, libraries, mailboxes) and who owns each.</w:t>
      </w:r>
    </w:p>
    <w:p>
      <w:pPr>
        <w:pStyle w:val="ListParagraph"/>
        <w:numPr>
          <w:ilvl w:val="0"/>
          <w:numId w:val="2"/>
        </w:numPr>
        <w:spacing w:lineRule="exact" w:line="264" w:before="0" w:after="60"/>
        <w:rPr/>
      </w:pPr>
      <w:r>
        <w:rPr/>
        <w:t>Current contact lists or CRM export, even if messy; the import preview will show what needs cleaning.</w:t>
      </w:r>
    </w:p>
    <w:p>
      <w:pPr>
        <w:pStyle w:val="ListParagraph"/>
        <w:numPr>
          <w:ilvl w:val="0"/>
          <w:numId w:val="2"/>
        </w:numPr>
        <w:spacing w:lineRule="exact" w:line="264" w:before="0" w:after="60"/>
        <w:rPr/>
      </w:pPr>
      <w:r>
        <w:rPr/>
        <w:t>The stages relationship managers actually use today, per category.</w:t>
      </w:r>
    </w:p>
    <w:p>
      <w:pPr>
        <w:pStyle w:val="ListParagraph"/>
        <w:numPr>
          <w:ilvl w:val="0"/>
          <w:numId w:val="2"/>
        </w:numPr>
        <w:spacing w:lineRule="exact" w:line="264" w:before="0" w:after="60"/>
        <w:rPr/>
      </w:pPr>
      <w:r>
        <w:rPr/>
        <w:t>The five to ten decisions management makes most often, and what evidence they expect to see.</w:t>
      </w:r>
    </w:p>
    <w:p>
      <w:pPr>
        <w:pStyle w:val="ListParagraph"/>
        <w:numPr>
          <w:ilvl w:val="0"/>
          <w:numId w:val="2"/>
        </w:numPr>
        <w:spacing w:lineRule="exact" w:line="264" w:before="0" w:after="60"/>
        <w:rPr/>
      </w:pPr>
      <w:r>
        <w:rPr/>
        <w:t>A person who can approve identity and mailbox connections in the IT tenant.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00" w:right="1200" w:gutter="0" w:header="708" w:top="1200" w:footer="708" w:bottom="110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840" w:leader="none"/>
      </w:tabs>
      <w:rPr/>
    </w:pPr>
    <w:r>
      <w:rPr>
        <w:color w:val="5A6270"/>
        <w:sz w:val="16"/>
        <w:szCs w:val="16"/>
      </w:rPr>
      <w:t>Confidential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color w:val="5A6270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840" w:leader="none"/>
      </w:tabs>
      <w:rPr/>
    </w:pPr>
    <w:r>
      <w:rPr>
        <w:color w:val="5A6270"/>
        <w:sz w:val="16"/>
        <w:szCs w:val="16"/>
      </w:rPr>
      <w:t>Confidential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color w:val="5A6270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840" w:leader="none"/>
      </w:tabs>
      <w:rPr/>
    </w:pPr>
    <w:r>
      <w:rPr>
        <w:color w:val="5A6270"/>
        <w:sz w:val="16"/>
        <w:szCs w:val="16"/>
      </w:rPr>
      <w:t>Data Onboarding and Integration</w:t>
      <w:tab/>
      <w:t>PROPOSAL PACKAGE  |  DOCUMENT 07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840" w:leader="none"/>
      </w:tabs>
      <w:rPr/>
    </w:pPr>
    <w:r>
      <w:rPr>
        <w:color w:val="5A6270"/>
        <w:sz w:val="16"/>
        <w:szCs w:val="16"/>
      </w:rPr>
      <w:t>Data Onboarding and Integration</w:t>
      <w:tab/>
      <w:t>PROPOSAL PACKAGE  |  DOCUMENT 07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40" w:hanging="3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00" w:hanging="270"/>
      </w:pPr>
      <w:rPr>
        <w:rFonts w:ascii="Symbol" w:hAnsi="Symbol" w:cs="Symbol" w:hint="default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1440" w:hanging="27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22222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22222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rFonts w:ascii="Arial" w:hAnsi="Arial" w:eastAsia="Arial" w:cs="Arial"/>
      <w:b/>
      <w:bCs/>
      <w:color w:val="1E2761"/>
      <w:sz w:val="34"/>
      <w:szCs w:val="34"/>
    </w:rPr>
  </w:style>
  <w:style w:type="paragraph" w:styleId="Heading2">
    <w:name w:val="Heading 2"/>
    <w:basedOn w:val="Heading"/>
    <w:qFormat/>
    <w:pPr>
      <w:outlineLvl w:val="1"/>
    </w:pPr>
    <w:rPr>
      <w:rFonts w:ascii="Arial" w:hAnsi="Arial" w:eastAsia="Arial" w:cs="Arial"/>
      <w:b/>
      <w:bCs/>
      <w:color w:val="1C7293"/>
      <w:sz w:val="26"/>
      <w:szCs w:val="26"/>
    </w:rPr>
  </w:style>
  <w:style w:type="paragraph" w:styleId="Heading3">
    <w:name w:val="Heading 3"/>
    <w:basedOn w:val="Heading"/>
    <w:qFormat/>
    <w:pPr>
      <w:outlineLvl w:val="2"/>
    </w:pPr>
    <w:rPr>
      <w:rFonts w:ascii="Arial" w:hAnsi="Arial" w:eastAsia="Arial" w:cs="Arial"/>
      <w:b/>
      <w:bCs/>
      <w:color w:val="1E2761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222222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22222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84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557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</Pages>
  <Words>882</Words>
  <Characters>5145</Characters>
  <CharactersWithSpaces>5922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2026-09-06T07:25:15Z</dcterms:created>
  <dc:creator>Proposal team</dc:creator>
  <dc:description/>
  <dc:language>en-US</dc:language>
  <cp:lastModifiedBy/>
  <dcterms:modified xsi:type="dcterms:W3CDTF">2026-09-06T07:25:34Z</dcterms:modified>
  <cp:revision>2</cp:revision>
  <dc:subject/>
  <dc:title>Data Onboarding and Integration Guide</dc:title>
</cp:coreProperties>
</file>