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400" w:after="0"/>
        <w:rPr/>
      </w:pPr>
      <w:r>
        <w:rPr/>
      </w:r>
    </w:p>
    <w:p>
      <w:pPr>
        <w:pStyle w:val="Normal"/>
        <w:spacing w:before="0" w:after="300"/>
        <w:rPr/>
      </w:pPr>
      <w:r>
        <w:rPr>
          <w:b/>
          <w:bCs/>
          <w:color w:val="1C7293"/>
          <w:spacing w:val="40"/>
          <w:sz w:val="20"/>
          <w:szCs w:val="20"/>
        </w:rPr>
        <w:t>PROPOSAL PACKAGE  |  DOCUMENT 12</w:t>
      </w:r>
    </w:p>
    <w:p>
      <w:pPr>
        <w:pStyle w:val="Normal"/>
        <w:spacing w:before="0" w:after="200"/>
        <w:rPr/>
      </w:pPr>
      <w:r>
        <w:rPr>
          <w:b/>
          <w:bCs/>
          <w:color w:val="1E2761"/>
          <w:sz w:val="60"/>
          <w:szCs w:val="60"/>
        </w:rPr>
        <w:t>Demo Script and Meeting Runbook</w:t>
      </w:r>
    </w:p>
    <w:p>
      <w:pPr>
        <w:pStyle w:val="Normal"/>
        <w:spacing w:before="0" w:after="600"/>
        <w:rPr/>
      </w:pPr>
      <w:r>
        <w:rPr>
          <w:color w:val="5A6270"/>
          <w:sz w:val="28"/>
          <w:szCs w:val="28"/>
        </w:rPr>
        <w:t>Minute-by-minute plan for the first meeting, the storyline for the week 8-9 demo, and the seeded scenario that proves each requirement</w:t>
      </w:r>
    </w:p>
    <w:tbl>
      <w:tblPr>
        <w:tblW w:w="6000" w:type="dxa"/>
        <w:jc w:val="left"/>
        <w:tblInd w:w="0" w:type="dxa"/>
        <w:tblLayout w:type="fixed"/>
        <w:tblCellMar>
          <w:top w:w="80" w:type="dxa"/>
          <w:left w:w="108" w:type="dxa"/>
          <w:bottom w:w="80" w:type="dxa"/>
          <w:right w:w="108" w:type="dxa"/>
        </w:tblCellMar>
      </w:tblPr>
      <w:tblGrid>
        <w:gridCol w:w="1800"/>
        <w:gridCol w:w="4199"/>
      </w:tblGrid>
      <w:tr>
        <w:trPr/>
        <w:tc>
          <w:tcPr>
            <w:tcW w:w="1800" w:type="dxa"/>
            <w:tcBorders>
              <w:bottom w:val="single" w:sz="4" w:space="0" w:color="DDDDDD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1E2761"/>
                <w:sz w:val="20"/>
                <w:szCs w:val="20"/>
              </w:rPr>
              <w:t>Document</w:t>
            </w:r>
          </w:p>
        </w:tc>
        <w:tc>
          <w:tcPr>
            <w:tcW w:w="4199" w:type="dxa"/>
            <w:tcBorders>
              <w:bottom w:val="single" w:sz="4" w:space="0" w:color="DDDDDD"/>
            </w:tcBorders>
          </w:tcPr>
          <w:p>
            <w:pPr>
              <w:pStyle w:val="Normal"/>
              <w:rPr/>
            </w:pPr>
            <w:r>
              <w:rPr>
                <w:color w:val="5A6270"/>
                <w:sz w:val="20"/>
                <w:szCs w:val="20"/>
              </w:rPr>
              <w:t>12 of 15</w:t>
            </w:r>
          </w:p>
        </w:tc>
      </w:tr>
      <w:tr>
        <w:trPr/>
        <w:tc>
          <w:tcPr>
            <w:tcW w:w="1800" w:type="dxa"/>
            <w:tcBorders>
              <w:top w:val="single" w:sz="4" w:space="0" w:color="DDDDDD"/>
              <w:bottom w:val="single" w:sz="4" w:space="0" w:color="DDDDDD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1E2761"/>
                <w:sz w:val="20"/>
                <w:szCs w:val="20"/>
              </w:rPr>
              <w:t>Audience</w:t>
            </w:r>
          </w:p>
        </w:tc>
        <w:tc>
          <w:tcPr>
            <w:tcW w:w="4199" w:type="dxa"/>
            <w:tcBorders>
              <w:top w:val="single" w:sz="4" w:space="0" w:color="DDDDDD"/>
              <w:bottom w:val="single" w:sz="4" w:space="0" w:color="DDDDDD"/>
            </w:tcBorders>
          </w:tcPr>
          <w:p>
            <w:pPr>
              <w:pStyle w:val="Normal"/>
              <w:rPr/>
            </w:pPr>
            <w:r>
              <w:rPr>
                <w:color w:val="5A6270"/>
                <w:sz w:val="20"/>
                <w:szCs w:val="20"/>
              </w:rPr>
              <w:t>Presenter and delivery team</w:t>
            </w:r>
          </w:p>
        </w:tc>
      </w:tr>
      <w:tr>
        <w:trPr/>
        <w:tc>
          <w:tcPr>
            <w:tcW w:w="1800" w:type="dxa"/>
            <w:tcBorders>
              <w:top w:val="single" w:sz="4" w:space="0" w:color="DDDDDD"/>
              <w:bottom w:val="single" w:sz="4" w:space="0" w:color="DDDDDD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1E2761"/>
                <w:sz w:val="20"/>
                <w:szCs w:val="20"/>
              </w:rPr>
              <w:t>Version</w:t>
            </w:r>
          </w:p>
        </w:tc>
        <w:tc>
          <w:tcPr>
            <w:tcW w:w="4199" w:type="dxa"/>
            <w:tcBorders>
              <w:top w:val="single" w:sz="4" w:space="0" w:color="DDDDDD"/>
              <w:bottom w:val="single" w:sz="4" w:space="0" w:color="DDDDDD"/>
            </w:tcBorders>
          </w:tcPr>
          <w:p>
            <w:pPr>
              <w:pStyle w:val="Normal"/>
              <w:rPr/>
            </w:pPr>
            <w:r>
              <w:rPr>
                <w:color w:val="5A6270"/>
                <w:sz w:val="20"/>
                <w:szCs w:val="20"/>
              </w:rPr>
              <w:t>1.0 (first-meeting edition)</w:t>
            </w:r>
          </w:p>
        </w:tc>
      </w:tr>
      <w:tr>
        <w:trPr/>
        <w:tc>
          <w:tcPr>
            <w:tcW w:w="1800" w:type="dxa"/>
            <w:tcBorders>
              <w:top w:val="single" w:sz="4" w:space="0" w:color="DDDDDD"/>
              <w:bottom w:val="single" w:sz="4" w:space="0" w:color="DDDDDD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1E2761"/>
                <w:sz w:val="20"/>
                <w:szCs w:val="20"/>
              </w:rPr>
              <w:t>Date</w:t>
            </w:r>
          </w:p>
        </w:tc>
        <w:tc>
          <w:tcPr>
            <w:tcW w:w="4199" w:type="dxa"/>
            <w:tcBorders>
              <w:top w:val="single" w:sz="4" w:space="0" w:color="DDDDDD"/>
              <w:bottom w:val="single" w:sz="4" w:space="0" w:color="DDDDDD"/>
            </w:tcBorders>
          </w:tcPr>
          <w:p>
            <w:pPr>
              <w:pStyle w:val="Normal"/>
              <w:rPr/>
            </w:pPr>
            <w:r>
              <w:rPr>
                <w:color w:val="5A6270"/>
                <w:sz w:val="20"/>
                <w:szCs w:val="20"/>
              </w:rPr>
              <w:t>September 2026</w:t>
            </w:r>
          </w:p>
        </w:tc>
      </w:tr>
      <w:tr>
        <w:trPr/>
        <w:tc>
          <w:tcPr>
            <w:tcW w:w="1800" w:type="dxa"/>
            <w:tcBorders>
              <w:top w:val="single" w:sz="4" w:space="0" w:color="DDDDDD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1E2761"/>
                <w:sz w:val="20"/>
                <w:szCs w:val="20"/>
              </w:rPr>
              <w:t>Classification</w:t>
            </w:r>
          </w:p>
        </w:tc>
        <w:tc>
          <w:tcPr>
            <w:tcW w:w="4199" w:type="dxa"/>
            <w:tcBorders>
              <w:top w:val="single" w:sz="4" w:space="0" w:color="DDDDDD"/>
            </w:tcBorders>
          </w:tcPr>
          <w:p>
            <w:pPr>
              <w:pStyle w:val="Normal"/>
              <w:rPr/>
            </w:pPr>
            <w:r>
              <w:rPr>
                <w:color w:val="5A6270"/>
                <w:sz w:val="20"/>
                <w:szCs w:val="20"/>
              </w:rPr>
              <w:t>Internal - presenter's copy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>
          <w:b/>
          <w:bCs/>
          <w:color w:val="1E2761"/>
          <w:sz w:val="32"/>
          <w:szCs w:val="32"/>
        </w:rPr>
        <w:t>Contents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840"/>
              <w:tab w:val="right" w:pos="9839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"1-2" \h</w:instrText>
          </w:r>
          <w:r>
            <w:rPr>
              <w:rStyle w:val="IndexLink"/>
            </w:rPr>
            <w:fldChar w:fldCharType="separate"/>
          </w:r>
          <w:hyperlink w:anchor="__RefHeading___Toc3944_3719902292">
            <w:r>
              <w:rPr>
                <w:rStyle w:val="IndexLink"/>
              </w:rPr>
              <w:t>1. First meeting: objective and outcome</w:t>
              <w:tab/>
              <w:t>3</w:t>
            </w:r>
          </w:hyperlink>
        </w:p>
        <w:p>
          <w:pPr>
            <w:pStyle w:val="TOC1"/>
            <w:tabs>
              <w:tab w:val="clear" w:pos="9840"/>
              <w:tab w:val="right" w:pos="9839" w:leader="dot"/>
            </w:tabs>
            <w:rPr/>
          </w:pPr>
          <w:hyperlink w:anchor="__RefHeading___Toc3946_3719902292">
            <w:r>
              <w:rPr>
                <w:rStyle w:val="IndexLink"/>
              </w:rPr>
              <w:t>2. Meeting runbook (60 minutes)</w:t>
              <w:tab/>
              <w:t>3</w:t>
            </w:r>
          </w:hyperlink>
        </w:p>
        <w:p>
          <w:pPr>
            <w:pStyle w:val="TOC1"/>
            <w:tabs>
              <w:tab w:val="clear" w:pos="9840"/>
              <w:tab w:val="right" w:pos="9839" w:leader="dot"/>
            </w:tabs>
            <w:rPr/>
          </w:pPr>
          <w:hyperlink w:anchor="__RefHeading___Toc3948_3719902292">
            <w:r>
              <w:rPr>
                <w:rStyle w:val="IndexLink"/>
              </w:rPr>
              <w:t>3. Week 8-9 integrated demo storyline</w:t>
              <w:tab/>
              <w:t>3</w:t>
            </w:r>
          </w:hyperlink>
        </w:p>
        <w:p>
          <w:pPr>
            <w:pStyle w:val="TOC2"/>
            <w:tabs>
              <w:tab w:val="clear" w:pos="9557"/>
              <w:tab w:val="right" w:pos="9839" w:leader="dot"/>
            </w:tabs>
            <w:rPr/>
          </w:pPr>
          <w:hyperlink w:anchor="__RefHeading___Toc3950_3719902292">
            <w:r>
              <w:rPr>
                <w:rStyle w:val="IndexLink"/>
              </w:rPr>
              <w:t>3.1 Seeded scenario</w:t>
              <w:tab/>
              <w:t>3</w:t>
            </w:r>
          </w:hyperlink>
        </w:p>
        <w:p>
          <w:pPr>
            <w:pStyle w:val="TOC2"/>
            <w:tabs>
              <w:tab w:val="clear" w:pos="9557"/>
              <w:tab w:val="right" w:pos="9839" w:leader="dot"/>
            </w:tabs>
            <w:rPr/>
          </w:pPr>
          <w:hyperlink w:anchor="__RefHeading___Toc3952_3719902292">
            <w:r>
              <w:rPr>
                <w:rStyle w:val="IndexLink"/>
              </w:rPr>
              <w:t>3.2 Demo flow (25 minutes)</w:t>
              <w:tab/>
              <w:t>4</w:t>
            </w:r>
          </w:hyperlink>
        </w:p>
        <w:p>
          <w:pPr>
            <w:pStyle w:val="TOC2"/>
            <w:tabs>
              <w:tab w:val="clear" w:pos="9557"/>
              <w:tab w:val="right" w:pos="9839" w:leader="dot"/>
            </w:tabs>
            <w:rPr/>
          </w:pPr>
          <w:hyperlink w:anchor="__RefHeading___Toc3954_3719902292">
            <w:r>
              <w:rPr>
                <w:rStyle w:val="IndexLink"/>
              </w:rPr>
              <w:t>3.3 Success criteria for the demo</w:t>
              <w:tab/>
              <w:t>5</w:t>
            </w:r>
          </w:hyperlink>
        </w:p>
        <w:p>
          <w:pPr>
            <w:pStyle w:val="TOC1"/>
            <w:tabs>
              <w:tab w:val="clear" w:pos="9840"/>
              <w:tab w:val="right" w:pos="9839" w:leader="dot"/>
            </w:tabs>
            <w:rPr/>
          </w:pPr>
          <w:hyperlink w:anchor="__RefHeading___Toc3956_3719902292">
            <w:r>
              <w:rPr>
                <w:rStyle w:val="IndexLink"/>
              </w:rPr>
              <w:t>4. Follow-up note template (send within 24 hours of the first meeting)</w:t>
              <w:tab/>
              <w:t>5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bookmarkStart w:id="0" w:name="__RefHeading___Toc3944_3719902292"/>
      <w:bookmarkEnd w:id="0"/>
      <w:r>
        <w:rPr/>
        <w:t>1. First meeting: objective and outcome</w:t>
      </w:r>
    </w:p>
    <w:p>
      <w:pPr>
        <w:pStyle w:val="Normal"/>
        <w:spacing w:lineRule="exact" w:line="276" w:before="0" w:after="120"/>
        <w:rPr/>
      </w:pPr>
      <w:r>
        <w:rPr>
          <w:b/>
          <w:bCs/>
        </w:rPr>
        <w:t>Objective:</w:t>
      </w:r>
      <w:r>
        <w:rPr/>
        <w:t xml:space="preserve"> earn the right to a detailed presentation. Not to close a contract.</w:t>
      </w:r>
    </w:p>
    <w:p>
      <w:pPr>
        <w:pStyle w:val="Normal"/>
        <w:spacing w:lineRule="exact" w:line="276" w:before="0" w:after="120"/>
        <w:rPr/>
      </w:pPr>
      <w:r>
        <w:rPr>
          <w:b/>
          <w:bCs/>
        </w:rPr>
        <w:t>Outcome we want:</w:t>
      </w:r>
      <w:r>
        <w:rPr/>
        <w:t xml:space="preserve"> the client agrees to (a) share sample documents under NDA, (b) name a sponsor and product owner, and (c) schedule the detailed session. Ask for these three things explicitly at the end.</w:t>
      </w:r>
    </w:p>
    <w:p>
      <w:pPr>
        <w:pStyle w:val="Heading1"/>
        <w:spacing w:before="360" w:after="160"/>
        <w:rPr/>
      </w:pPr>
      <w:bookmarkStart w:id="1" w:name="__RefHeading___Toc3946_3719902292"/>
      <w:bookmarkEnd w:id="1"/>
      <w:r>
        <w:rPr/>
        <w:t>2. Meeting runbook (60 minutes)</w:t>
      </w:r>
    </w:p>
    <w:tbl>
      <w:tblPr>
        <w:tblW w:w="9840" w:type="dxa"/>
        <w:jc w:val="left"/>
        <w:tblInd w:w="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1180"/>
        <w:gridCol w:w="2756"/>
        <w:gridCol w:w="5904"/>
      </w:tblGrid>
      <w:tr>
        <w:trPr>
          <w:tblHeader w:val="true"/>
        </w:trPr>
        <w:tc>
          <w:tcPr>
            <w:tcW w:w="1180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1E2761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2756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1E2761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Segment</w:t>
            </w:r>
          </w:p>
        </w:tc>
        <w:tc>
          <w:tcPr>
            <w:tcW w:w="5904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1E2761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What to do and say</w:t>
            </w:r>
          </w:p>
        </w:tc>
      </w:tr>
      <w:tr>
        <w:trPr/>
        <w:tc>
          <w:tcPr>
            <w:tcW w:w="1180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0-3 min</w:t>
            </w:r>
          </w:p>
        </w:tc>
        <w:tc>
          <w:tcPr>
            <w:tcW w:w="2756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Open</w:t>
            </w:r>
          </w:p>
        </w:tc>
        <w:tc>
          <w:tcPr>
            <w:tcW w:w="5904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Thank them. State the purpose: "We read your brief carefully; today we want to show you our plan, be candid about the choices you will need to make, and agree the next step."</w:t>
            </w:r>
          </w:p>
        </w:tc>
      </w:tr>
      <w:tr>
        <w:trPr/>
        <w:tc>
          <w:tcPr>
            <w:tcW w:w="1180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3-8 min</w:t>
            </w:r>
          </w:p>
        </w:tc>
        <w:tc>
          <w:tcPr>
            <w:tcW w:w="2756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Play back the brief</w:t>
            </w:r>
          </w:p>
        </w:tc>
        <w:tc>
          <w:tcPr>
            <w:tcW w:w="5904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Restate the four things System 1 must do and the five things System 2 must do (deck slides 3-4). Ask: "Have we understood it correctly?" Listen. Note anything new.</w:t>
            </w:r>
          </w:p>
        </w:tc>
      </w:tr>
      <w:tr>
        <w:trPr/>
        <w:tc>
          <w:tcPr>
            <w:tcW w:w="1180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8-16 min</w:t>
            </w:r>
          </w:p>
        </w:tc>
        <w:tc>
          <w:tcPr>
            <w:tcW w:w="2756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The approach</w:t>
            </w:r>
          </w:p>
        </w:tc>
        <w:tc>
          <w:tcPr>
            <w:tcW w:w="5904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Slides 5-7: one platform, two products; System 1 pipeline; the claims ledger. Use the phrase "contradictions need structure, not just search".</w:t>
            </w:r>
          </w:p>
        </w:tc>
      </w:tr>
      <w:tr>
        <w:trPr/>
        <w:tc>
          <w:tcPr>
            <w:tcW w:w="1180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16-22 min</w:t>
            </w:r>
          </w:p>
        </w:tc>
        <w:tc>
          <w:tcPr>
            <w:tcW w:w="2756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System 2</w:t>
            </w:r>
          </w:p>
        </w:tc>
        <w:tc>
          <w:tcPr>
            <w:tcW w:w="5904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Slides 8-9: pipelines and the approval gate. "Nothing leaves the building without a human's name on it."</w:t>
            </w:r>
          </w:p>
        </w:tc>
      </w:tr>
      <w:tr>
        <w:trPr/>
        <w:tc>
          <w:tcPr>
            <w:tcW w:w="1180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22-28 min</w:t>
            </w:r>
          </w:p>
        </w:tc>
        <w:tc>
          <w:tcPr>
            <w:tcW w:w="2756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Data and trust</w:t>
            </w:r>
          </w:p>
        </w:tc>
        <w:tc>
          <w:tcPr>
            <w:tcW w:w="5904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Slides 10-11: residency patterns; security and audit. Be candid about cross-region inference and the sovereign option.</w:t>
            </w:r>
          </w:p>
        </w:tc>
      </w:tr>
      <w:tr>
        <w:trPr/>
        <w:tc>
          <w:tcPr>
            <w:tcW w:w="1180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28-34 min</w:t>
            </w:r>
          </w:p>
        </w:tc>
        <w:tc>
          <w:tcPr>
            <w:tcW w:w="2756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Plug in real data later</w:t>
            </w:r>
          </w:p>
        </w:tc>
        <w:tc>
          <w:tcPr>
            <w:tcW w:w="5904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Slide 12: configuration, imports, connectors, demo data removable.</w:t>
            </w:r>
          </w:p>
        </w:tc>
      </w:tr>
      <w:tr>
        <w:trPr/>
        <w:tc>
          <w:tcPr>
            <w:tcW w:w="1180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34-42 min</w:t>
            </w:r>
          </w:p>
        </w:tc>
        <w:tc>
          <w:tcPr>
            <w:tcW w:w="2756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Timeline and commercial model</w:t>
            </w:r>
          </w:p>
        </w:tc>
        <w:tc>
          <w:tcPr>
            <w:tcW w:w="5904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Slides 13-15: phases, demo at week 8-9, tiers of run cost, pricing structure, client owns everything.</w:t>
            </w:r>
          </w:p>
        </w:tc>
      </w:tr>
      <w:tr>
        <w:trPr/>
        <w:tc>
          <w:tcPr>
            <w:tcW w:w="1180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42-46 min</w:t>
            </w:r>
          </w:p>
        </w:tc>
        <w:tc>
          <w:tcPr>
            <w:tcW w:w="2756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What we need and what you may have missed</w:t>
            </w:r>
          </w:p>
        </w:tc>
        <w:tc>
          <w:tcPr>
            <w:tcW w:w="5904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Slides 16-17: inputs from the client; the gaps list. Frame the gaps as "decisions that make the project succeed", not criticism.</w:t>
            </w:r>
          </w:p>
        </w:tc>
      </w:tr>
      <w:tr>
        <w:trPr/>
        <w:tc>
          <w:tcPr>
            <w:tcW w:w="1180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46-56 min</w:t>
            </w:r>
          </w:p>
        </w:tc>
        <w:tc>
          <w:tcPr>
            <w:tcW w:w="2756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Questions</w:t>
            </w:r>
          </w:p>
        </w:tc>
        <w:tc>
          <w:tcPr>
            <w:tcW w:w="5904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Use the Q&amp;A playbook. If a question needs the technical team, say so and log it.</w:t>
            </w:r>
          </w:p>
        </w:tc>
      </w:tr>
      <w:tr>
        <w:trPr/>
        <w:tc>
          <w:tcPr>
            <w:tcW w:w="1180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56-60 min</w:t>
            </w:r>
          </w:p>
        </w:tc>
        <w:tc>
          <w:tcPr>
            <w:tcW w:w="2756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Close</w:t>
            </w:r>
          </w:p>
        </w:tc>
        <w:tc>
          <w:tcPr>
            <w:tcW w:w="5904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Ask for the three outcomes. Confirm the date of the detailed session. Send the follow-up note within 24 hours.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lineRule="exact" w:line="276" w:before="0" w:after="120"/>
        <w:rPr/>
      </w:pPr>
      <w:r>
        <w:rPr>
          <w:b/>
          <w:bCs/>
        </w:rPr>
        <w:t>Materials to bring:</w:t>
      </w:r>
      <w:r>
        <w:rPr/>
        <w:t xml:space="preserve"> the deck (Document 02); printed Executive Summary (Document 01) for each attendee; this runbook; the Q&amp;A playbook (do not hand out). Leave-behind: Executive Summary only. The full pack follows after NDA.</w:t>
      </w:r>
    </w:p>
    <w:p>
      <w:pPr>
        <w:pStyle w:val="Heading1"/>
        <w:spacing w:before="360" w:after="160"/>
        <w:rPr/>
      </w:pPr>
      <w:bookmarkStart w:id="2" w:name="__RefHeading___Toc3948_3719902292"/>
      <w:bookmarkEnd w:id="2"/>
      <w:r>
        <w:rPr/>
        <w:t>3. Week 8-9 integrated demo storyline</w:t>
      </w:r>
    </w:p>
    <w:p>
      <w:pPr>
        <w:pStyle w:val="Heading2"/>
        <w:spacing w:before="280" w:after="120"/>
        <w:rPr/>
      </w:pPr>
      <w:bookmarkStart w:id="3" w:name="__RefHeading___Toc3950_3719902292"/>
      <w:bookmarkEnd w:id="3"/>
      <w:r>
        <w:rPr/>
        <w:t>3.1 Seeded scenario</w:t>
      </w:r>
    </w:p>
    <w:p>
      <w:pPr>
        <w:pStyle w:val="Normal"/>
        <w:spacing w:lineRule="exact" w:line="276" w:before="0" w:after="120"/>
        <w:rPr/>
      </w:pPr>
      <w:r>
        <w:rPr/>
        <w:t xml:space="preserve">A fictional group, "Al Noor Holdings", is deciding whether to approve a supply contract with "Gulf Precision Industries" and is also progressing an investment discussion with "Marwa Capital". The demo corpus (about 60 documents in English and Arabic, some scanned) contains </w:t>
      </w:r>
      <w:r>
        <w:rPr>
          <w:b/>
          <w:bCs/>
        </w:rPr>
        <w:t>deliberate contradictions and gaps</w:t>
      </w:r>
      <w:r>
        <w:rPr/>
        <w:t>:</w:t>
      </w:r>
    </w:p>
    <w:tbl>
      <w:tblPr>
        <w:tblW w:w="9840" w:type="dxa"/>
        <w:jc w:val="left"/>
        <w:tblInd w:w="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787"/>
        <w:gridCol w:w="5117"/>
        <w:gridCol w:w="3936"/>
      </w:tblGrid>
      <w:tr>
        <w:trPr>
          <w:tblHeader w:val="true"/>
        </w:trPr>
        <w:tc>
          <w:tcPr>
            <w:tcW w:w="787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1E2761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117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1E2761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Seeded issue</w:t>
            </w:r>
          </w:p>
        </w:tc>
        <w:tc>
          <w:tcPr>
            <w:tcW w:w="3936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1E2761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What the demo shows</w:t>
            </w:r>
          </w:p>
        </w:tc>
      </w:tr>
      <w:tr>
        <w:trPr/>
        <w:tc>
          <w:tcPr>
            <w:tcW w:w="787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117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Contract value AED 12.5m in Contract v2; AED 11.8m in the board approval memo</w:t>
            </w:r>
          </w:p>
        </w:tc>
        <w:tc>
          <w:tcPr>
            <w:tcW w:w="3936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Contradiction flag with both quotes and pages; answer to "what is the contract value?" shows the conflict inline</w:t>
            </w:r>
          </w:p>
        </w:tc>
      </w:tr>
      <w:tr>
        <w:trPr/>
        <w:tc>
          <w:tcPr>
            <w:tcW w:w="787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117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Effective date 1 March in the contract; 15 March in the finance model's inputs</w:t>
            </w:r>
          </w:p>
        </w:tc>
        <w:tc>
          <w:tcPr>
            <w:tcW w:w="3936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Date contradiction; explanation of tolerance rules</w:t>
            </w:r>
          </w:p>
        </w:tc>
      </w:tr>
      <w:tr>
        <w:trPr/>
        <w:tc>
          <w:tcPr>
            <w:tcW w:w="787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117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Contract v1 has a 24-month term; Contract v2 has 36 months, marked as superseding</w:t>
            </w:r>
          </w:p>
        </w:tc>
        <w:tc>
          <w:tcPr>
            <w:tcW w:w="3936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No contradiction flagged (version handling); the answer cites v2</w:t>
            </w:r>
          </w:p>
        </w:tc>
      </w:tr>
      <w:tr>
        <w:trPr/>
        <w:tc>
          <w:tcPr>
            <w:tcW w:w="787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117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Contract refers to "Annex B: performance bond" which is not in the corpus</w:t>
            </w:r>
          </w:p>
        </w:tc>
        <w:tc>
          <w:tcPr>
            <w:tcW w:w="3936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Dangling-reference gap</w:t>
            </w:r>
          </w:p>
        </w:tc>
      </w:tr>
      <w:tr>
        <w:trPr/>
        <w:tc>
          <w:tcPr>
            <w:tcW w:w="787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117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Decision "Approve supply contract" requires a legal opinion; none loaded</w:t>
            </w:r>
          </w:p>
        </w:tc>
        <w:tc>
          <w:tcPr>
            <w:tcW w:w="3936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Checklist gap listed on the decision page</w:t>
            </w:r>
          </w:p>
        </w:tc>
      </w:tr>
      <w:tr>
        <w:trPr/>
        <w:tc>
          <w:tcPr>
            <w:tcW w:w="787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117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Arabic-language board minute (scanned) records the approved amount</w:t>
            </w:r>
          </w:p>
        </w:tc>
        <w:tc>
          <w:tcPr>
            <w:tcW w:w="3936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Arabic OCR, cross-language retrieval, cited answer in English</w:t>
            </w:r>
          </w:p>
        </w:tc>
      </w:tr>
      <w:tr>
        <w:trPr/>
        <w:tc>
          <w:tcPr>
            <w:tcW w:w="787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5117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Marwa Capital MoU date in CRM (12 March) differs from the signed MoU (14 March)</w:t>
            </w:r>
          </w:p>
        </w:tc>
        <w:tc>
          <w:tcPr>
            <w:tcW w:w="3936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Cross-system finding shown on the relationship page</w:t>
            </w:r>
          </w:p>
        </w:tc>
      </w:tr>
      <w:tr>
        <w:trPr/>
        <w:tc>
          <w:tcPr>
            <w:tcW w:w="787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5117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A question with no answer in the corpus: "What is the CEO's salary?"</w:t>
            </w:r>
          </w:p>
        </w:tc>
        <w:tc>
          <w:tcPr>
            <w:tcW w:w="3936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Refusal with closest documents listed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80" w:after="120"/>
        <w:rPr/>
      </w:pPr>
      <w:bookmarkStart w:id="4" w:name="__RefHeading___Toc3952_3719902292"/>
      <w:bookmarkEnd w:id="4"/>
      <w:r>
        <w:rPr/>
        <w:t>3.2 Demo flow (25 minutes)</w:t>
      </w:r>
    </w:p>
    <w:p>
      <w:pPr>
        <w:pStyle w:val="ListParagraph"/>
        <w:numPr>
          <w:ilvl w:val="0"/>
          <w:numId w:val="4"/>
        </w:numPr>
        <w:spacing w:lineRule="exact" w:line="264" w:before="0" w:after="60"/>
        <w:rPr/>
      </w:pPr>
      <w:r>
        <w:rPr>
          <w:b/>
          <w:bCs/>
        </w:rPr>
        <w:t>Login with single sign-on</w:t>
      </w:r>
      <w:r>
        <w:rPr/>
        <w:t xml:space="preserve"> as an executive. Show the home page: open findings count, decisions with gaps, recent questions.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rPr/>
      </w:pPr>
      <w:r>
        <w:rPr>
          <w:b/>
          <w:bCs/>
        </w:rPr>
        <w:t>Ask in plain language:</w:t>
      </w:r>
      <w:r>
        <w:rPr/>
        <w:t xml:space="preserve"> "What is the value and term of the Gulf Precision supply contract?" Show the answer, citations, page viewer, and the inline contradiction note.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rPr/>
      </w:pPr>
      <w:r>
        <w:rPr>
          <w:b/>
          <w:bCs/>
        </w:rPr>
        <w:t>Open the finding.</w:t>
      </w:r>
      <w:r>
        <w:rPr/>
        <w:t xml:space="preserve"> Show both quotes side by side; assign an owner; add a resolution note; show it disappears from "open".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rPr/>
      </w:pPr>
      <w:r>
        <w:rPr>
          <w:b/>
          <w:bCs/>
        </w:rPr>
        <w:t>Open the decision "Approve supply contract".</w:t>
      </w:r>
      <w:r>
        <w:rPr/>
        <w:t xml:space="preserve"> Show present, missing and contradicted evidence; the Annex B dangling reference.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rPr/>
      </w:pPr>
      <w:r>
        <w:rPr>
          <w:b/>
          <w:bCs/>
        </w:rPr>
        <w:t>Ask in Arabic</w:t>
      </w:r>
      <w:r>
        <w:rPr/>
        <w:t xml:space="preserve"> or ask about the Arabic minute; show cross-language retrieval and citation of a scanned page.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rPr/>
      </w:pPr>
      <w:r>
        <w:rPr>
          <w:b/>
          <w:bCs/>
        </w:rPr>
        <w:t>Ask an unanswerable question.</w:t>
      </w:r>
      <w:r>
        <w:rPr/>
        <w:t xml:space="preserve"> Show the refusal.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rPr/>
      </w:pPr>
      <w:r>
        <w:rPr>
          <w:b/>
          <w:bCs/>
        </w:rPr>
        <w:t>Switch to the CRM.</w:t>
      </w:r>
      <w:r>
        <w:rPr/>
        <w:t xml:space="preserve"> Show the investor pipeline board (GCC stages), the Marwa Capital relationship page with history, follow-ups, and the finding from System 1 about the MoU date.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rPr/>
      </w:pPr>
      <w:r>
        <w:rPr>
          <w:b/>
          <w:bCs/>
        </w:rPr>
        <w:t>Compose an outreach.</w:t>
      </w:r>
      <w:r>
        <w:rPr/>
        <w:t xml:space="preserve"> Request an AI-assisted draft; show the risk flags; submit; log in as an approver (different user); show that the drafter cannot approve; approve; show the message sent through the connected mailbox and the audit entry.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rPr/>
      </w:pPr>
      <w:r>
        <w:rPr>
          <w:b/>
          <w:bCs/>
        </w:rPr>
        <w:t>Reports.</w:t>
      </w:r>
      <w:r>
        <w:rPr/>
        <w:t xml:space="preserve"> Who was contacted this month; pipeline by stage; overdue follow-ups; approval turnaround.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rPr/>
      </w:pPr>
      <w:r>
        <w:rPr>
          <w:b/>
          <w:bCs/>
        </w:rPr>
        <w:t>Admin.</w:t>
      </w:r>
      <w:r>
        <w:rPr/>
        <w:t xml:space="preserve"> Show adding a custom field and a new stage without code; show the import preview; show the "remove demo data" action (do not run it).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rPr/>
      </w:pPr>
      <w:r>
        <w:rPr>
          <w:b/>
          <w:bCs/>
        </w:rPr>
        <w:t>Audit log.</w:t>
      </w:r>
      <w:r>
        <w:rPr/>
        <w:t xml:space="preserve"> Filter to the session; show the chain.</w:t>
      </w:r>
    </w:p>
    <w:p>
      <w:pPr>
        <w:pStyle w:val="Heading2"/>
        <w:spacing w:before="280" w:after="120"/>
        <w:rPr/>
      </w:pPr>
      <w:bookmarkStart w:id="5" w:name="__RefHeading___Toc3954_3719902292"/>
      <w:bookmarkEnd w:id="5"/>
      <w:r>
        <w:rPr/>
        <w:t>3.3 Success criteria for the demo</w:t>
      </w:r>
    </w:p>
    <w:p>
      <w:pPr>
        <w:pStyle w:val="ListParagraph"/>
        <w:numPr>
          <w:ilvl w:val="0"/>
          <w:numId w:val="5"/>
        </w:numPr>
        <w:spacing w:lineRule="exact" w:line="264" w:before="0" w:after="60"/>
        <w:rPr/>
      </w:pPr>
      <w:r>
        <w:rPr/>
        <w:t>Every seeded issue in the table above is demonstrated.</w:t>
      </w:r>
    </w:p>
    <w:p>
      <w:pPr>
        <w:pStyle w:val="ListParagraph"/>
        <w:numPr>
          <w:ilvl w:val="0"/>
          <w:numId w:val="2"/>
        </w:numPr>
        <w:spacing w:lineRule="exact" w:line="264" w:before="0" w:after="60"/>
        <w:rPr/>
      </w:pPr>
      <w:r>
        <w:rPr/>
        <w:t>No question in the flow takes longer than 15 seconds to answer.</w:t>
      </w:r>
    </w:p>
    <w:p>
      <w:pPr>
        <w:pStyle w:val="ListParagraph"/>
        <w:numPr>
          <w:ilvl w:val="0"/>
          <w:numId w:val="2"/>
        </w:numPr>
        <w:spacing w:lineRule="exact" w:line="264" w:before="0" w:after="60"/>
        <w:rPr/>
      </w:pPr>
      <w:r>
        <w:rPr/>
        <w:t>The approval gate blocks self-approval in front of the client.</w:t>
      </w:r>
    </w:p>
    <w:p>
      <w:pPr>
        <w:pStyle w:val="ListParagraph"/>
        <w:numPr>
          <w:ilvl w:val="0"/>
          <w:numId w:val="2"/>
        </w:numPr>
        <w:spacing w:lineRule="exact" w:line="264" w:before="0" w:after="60"/>
        <w:rPr/>
      </w:pPr>
      <w:r>
        <w:rPr/>
        <w:t>The client can ask an unscripted question of the corpus and see a cited or refused answer.</w:t>
      </w:r>
    </w:p>
    <w:p>
      <w:pPr>
        <w:pStyle w:val="Heading1"/>
        <w:spacing w:before="360" w:after="160"/>
        <w:rPr/>
      </w:pPr>
      <w:bookmarkStart w:id="6" w:name="__RefHeading___Toc3956_3719902292"/>
      <w:bookmarkEnd w:id="6"/>
      <w:r>
        <w:rPr/>
        <w:t>4. Follow-up note template (send within 24 hours of the first meeting)</w:t>
      </w:r>
    </w:p>
    <w:p>
      <w:pPr>
        <w:pStyle w:val="Normal"/>
        <w:spacing w:lineRule="exact" w:line="276" w:before="0" w:after="120"/>
        <w:rPr/>
      </w:pPr>
      <w:r>
        <w:rPr/>
        <w:t>Subject: Follow-up: AI Executive Intelligence Assistant and CRM proposal</w:t>
      </w:r>
    </w:p>
    <w:p>
      <w:pPr>
        <w:pStyle w:val="Normal"/>
        <w:spacing w:lineRule="exact" w:line="276" w:before="0" w:after="120"/>
        <w:rPr/>
      </w:pPr>
      <w:r>
        <w:rPr/>
        <w:t>Thank you for your time today. As discussed:</w:t>
      </w:r>
    </w:p>
    <w:p>
      <w:pPr>
        <w:pStyle w:val="ListParagraph"/>
        <w:numPr>
          <w:ilvl w:val="0"/>
          <w:numId w:val="2"/>
        </w:numPr>
        <w:spacing w:lineRule="exact" w:line="264" w:before="0" w:after="60"/>
        <w:rPr/>
      </w:pPr>
      <w:r>
        <w:rPr/>
        <w:t>We will send the full proposal pack on receipt of the NDA.</w:t>
      </w:r>
    </w:p>
    <w:p>
      <w:pPr>
        <w:pStyle w:val="ListParagraph"/>
        <w:numPr>
          <w:ilvl w:val="0"/>
          <w:numId w:val="2"/>
        </w:numPr>
        <w:spacing w:lineRule="exact" w:line="264" w:before="0" w:after="60"/>
        <w:rPr/>
      </w:pPr>
      <w:r>
        <w:rPr/>
        <w:t>Next step: detailed session on [date], with our architect, covering the design, security and the commercial model in depth.</w:t>
      </w:r>
    </w:p>
    <w:p>
      <w:pPr>
        <w:pStyle w:val="ListParagraph"/>
        <w:numPr>
          <w:ilvl w:val="0"/>
          <w:numId w:val="2"/>
        </w:numPr>
        <w:spacing w:lineRule="exact" w:line="264" w:before="0" w:after="60"/>
        <w:rPr/>
      </w:pPr>
      <w:r>
        <w:rPr/>
        <w:t>To prepare, we would appreciate: (1) 50-200 sample documents, (2) the names of the sponsor and product owner, (3) your preferred jurisdiction and cloud provider if already decided.</w:t>
      </w:r>
    </w:p>
    <w:p>
      <w:pPr>
        <w:pStyle w:val="ListParagraph"/>
        <w:numPr>
          <w:ilvl w:val="0"/>
          <w:numId w:val="2"/>
        </w:numPr>
        <w:spacing w:lineRule="exact" w:line="264" w:before="0" w:after="60"/>
        <w:rPr/>
      </w:pPr>
      <w:r>
        <w:rPr/>
        <w:t>Open points you raised that we will answer in writing: [list].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200" w:right="1200" w:gutter="0" w:header="708" w:top="1200" w:footer="708" w:bottom="1100"/>
      <w:pgNumType w:fmt="decimal"/>
      <w:formProt w:val="false"/>
      <w:textDirection w:val="lrTb"/>
      <w:docGrid w:type="default" w:linePitch="36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right" w:pos="9840" w:leader="none"/>
      </w:tabs>
      <w:rPr/>
    </w:pPr>
    <w:r>
      <w:rPr>
        <w:color w:val="5A6270"/>
        <w:sz w:val="16"/>
        <w:szCs w:val="16"/>
      </w:rPr>
      <w:t>Internal - presenter's copy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  <w:r>
      <w:rPr>
        <w:color w:val="5A6270"/>
        <w:sz w:val="16"/>
        <w:szCs w:val="16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right" w:pos="9840" w:leader="none"/>
      </w:tabs>
      <w:rPr/>
    </w:pPr>
    <w:r>
      <w:rPr>
        <w:color w:val="5A6270"/>
        <w:sz w:val="16"/>
        <w:szCs w:val="16"/>
      </w:rPr>
      <w:t>Internal - presenter's copy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  <w:r>
      <w:rPr>
        <w:color w:val="5A6270"/>
        <w:sz w:val="16"/>
        <w:szCs w:val="16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right" w:pos="9840" w:leader="none"/>
      </w:tabs>
      <w:rPr/>
    </w:pPr>
    <w:r>
      <w:rPr>
        <w:color w:val="5A6270"/>
        <w:sz w:val="16"/>
        <w:szCs w:val="16"/>
      </w:rPr>
      <w:t>Demo Script and Meeting Runbook</w:t>
      <w:tab/>
      <w:t>PROPOSAL PACKAGE  |  DOCUMENT 12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right" w:pos="9840" w:leader="none"/>
      </w:tabs>
      <w:rPr/>
    </w:pPr>
    <w:r>
      <w:rPr>
        <w:color w:val="5A6270"/>
        <w:sz w:val="16"/>
        <w:szCs w:val="16"/>
      </w:rPr>
      <w:t>Demo Script and Meeting Runbook</w:t>
      <w:tab/>
      <w:t>PROPOSAL PACKAGE  |  DOCUMENT 12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540" w:hanging="32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540" w:hanging="27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1000" w:hanging="270"/>
      </w:pPr>
      <w:rPr>
        <w:rFonts w:ascii="Symbol" w:hAnsi="Symbol" w:cs="Symbol" w:hint="default"/>
      </w:rPr>
    </w:lvl>
    <w:lvl w:ilvl="2">
      <w:start w:val="1"/>
      <w:numFmt w:val="bullet"/>
      <w:lvlText w:val="·"/>
      <w:lvlJc w:val="left"/>
      <w:pPr>
        <w:tabs>
          <w:tab w:val="num" w:pos="0"/>
        </w:tabs>
        <w:ind w:left="1440" w:hanging="27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222222"/>
        <w:sz w:val="21"/>
        <w:szCs w:val="21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222222"/>
      <w:kern w:val="0"/>
      <w:sz w:val="21"/>
      <w:szCs w:val="21"/>
      <w:lang w:val="en-US" w:eastAsia="zh-CN" w:bidi="hi-IN"/>
    </w:rPr>
  </w:style>
  <w:style w:type="paragraph" w:styleId="Heading1">
    <w:name w:val="Heading 1"/>
    <w:basedOn w:val="Heading"/>
    <w:qFormat/>
    <w:pPr>
      <w:outlineLvl w:val="0"/>
    </w:pPr>
    <w:rPr>
      <w:rFonts w:ascii="Arial" w:hAnsi="Arial" w:eastAsia="Arial" w:cs="Arial"/>
      <w:b/>
      <w:bCs/>
      <w:color w:val="1E2761"/>
      <w:sz w:val="34"/>
      <w:szCs w:val="34"/>
    </w:rPr>
  </w:style>
  <w:style w:type="paragraph" w:styleId="Heading2">
    <w:name w:val="Heading 2"/>
    <w:basedOn w:val="Heading"/>
    <w:qFormat/>
    <w:pPr>
      <w:outlineLvl w:val="1"/>
    </w:pPr>
    <w:rPr>
      <w:rFonts w:ascii="Arial" w:hAnsi="Arial" w:eastAsia="Arial" w:cs="Arial"/>
      <w:b/>
      <w:bCs/>
      <w:color w:val="1C7293"/>
      <w:sz w:val="26"/>
      <w:szCs w:val="26"/>
    </w:rPr>
  </w:style>
  <w:style w:type="paragraph" w:styleId="Heading3">
    <w:name w:val="Heading 3"/>
    <w:basedOn w:val="Heading"/>
    <w:qFormat/>
    <w:pPr>
      <w:outlineLvl w:val="2"/>
    </w:pPr>
    <w:rPr>
      <w:rFonts w:ascii="Arial" w:hAnsi="Arial" w:eastAsia="Arial" w:cs="Arial"/>
      <w:b/>
      <w:bCs/>
      <w:color w:val="1E2761"/>
      <w:sz w:val="22"/>
      <w:szCs w:val="22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222222"/>
      <w:kern w:val="0"/>
      <w:sz w:val="21"/>
      <w:szCs w:val="21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222222"/>
      <w:kern w:val="0"/>
      <w:sz w:val="21"/>
      <w:szCs w:val="21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84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557" w:leader="dot"/>
      </w:tabs>
      <w:ind w:hanging="0" w:left="283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5</Pages>
  <Words>1102</Words>
  <Characters>5582</Characters>
  <CharactersWithSpaces>6554</CharactersWithSpaces>
  <Paragraphs>115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2026-09-06T07:25:15Z</dcterms:created>
  <dc:creator>Proposal team</dc:creator>
  <dc:description/>
  <dc:language>en-US</dc:language>
  <cp:lastModifiedBy/>
  <dcterms:modified xsi:type="dcterms:W3CDTF">2026-09-06T07:25:35Z</dcterms:modified>
  <cp:revision>2</cp:revision>
  <dc:subject/>
  <dc:title>Demo Script and Meeting Runbook</dc:title>
</cp:coreProperties>
</file>