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0" w:after="0"/>
        <w:rPr/>
      </w:pPr>
      <w:r>
        <w:rPr/>
      </w:r>
    </w:p>
    <w:p>
      <w:pPr>
        <w:pStyle w:val="Normal"/>
        <w:spacing w:before="0" w:after="300"/>
        <w:rPr/>
      </w:pPr>
      <w:r>
        <w:rPr>
          <w:b/>
          <w:bCs/>
          <w:color w:val="1C7293"/>
          <w:spacing w:val="40"/>
          <w:sz w:val="20"/>
          <w:szCs w:val="20"/>
        </w:rPr>
        <w:t>PROPOSAL PACKAGE  |  DOCUMENT 04</w:t>
      </w:r>
    </w:p>
    <w:p>
      <w:pPr>
        <w:pStyle w:val="Normal"/>
        <w:spacing w:before="0" w:after="200"/>
        <w:rPr/>
      </w:pPr>
      <w:r>
        <w:rPr>
          <w:b/>
          <w:bCs/>
          <w:color w:val="1E2761"/>
          <w:sz w:val="60"/>
          <w:szCs w:val="60"/>
        </w:rPr>
        <w:t>Implementation Roadmap and Timeline</w:t>
      </w:r>
    </w:p>
    <w:p>
      <w:pPr>
        <w:pStyle w:val="Normal"/>
        <w:spacing w:before="0" w:after="600"/>
        <w:rPr/>
      </w:pPr>
      <w:r>
        <w:rPr>
          <w:color w:val="5A6270"/>
          <w:sz w:val="28"/>
          <w:szCs w:val="28"/>
        </w:rPr>
        <w:t>Phases, milestones, staffing, dependencies and acceptance criteria from kick-off to production and scale-out</w:t>
      </w:r>
    </w:p>
    <w:tbl>
      <w:tblPr>
        <w:tblW w:w="6000" w:type="dxa"/>
        <w:jc w:val="left"/>
        <w:tblInd w:w="0" w:type="dxa"/>
        <w:tblLayout w:type="fixed"/>
        <w:tblCellMar>
          <w:top w:w="80" w:type="dxa"/>
          <w:left w:w="108" w:type="dxa"/>
          <w:bottom w:w="80" w:type="dxa"/>
          <w:right w:w="108" w:type="dxa"/>
        </w:tblCellMar>
      </w:tblPr>
      <w:tblGrid>
        <w:gridCol w:w="1800"/>
        <w:gridCol w:w="4199"/>
      </w:tblGrid>
      <w:tr>
        <w:trPr/>
        <w:tc>
          <w:tcPr>
            <w:tcW w:w="1800" w:type="dxa"/>
            <w:tcBorders>
              <w:bottom w:val="single" w:sz="4" w:space="0" w:color="DDDDDD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1E2761"/>
                <w:sz w:val="20"/>
                <w:szCs w:val="20"/>
              </w:rPr>
              <w:t>Document</w:t>
            </w:r>
          </w:p>
        </w:tc>
        <w:tc>
          <w:tcPr>
            <w:tcW w:w="4199" w:type="dxa"/>
            <w:tcBorders>
              <w:bottom w:val="single" w:sz="4" w:space="0" w:color="DDDDDD"/>
            </w:tcBorders>
          </w:tcPr>
          <w:p>
            <w:pPr>
              <w:pStyle w:val="Normal"/>
              <w:rPr/>
            </w:pPr>
            <w:r>
              <w:rPr>
                <w:color w:val="5A6270"/>
                <w:sz w:val="20"/>
                <w:szCs w:val="20"/>
              </w:rPr>
              <w:t>04 of 15</w:t>
            </w:r>
          </w:p>
        </w:tc>
      </w:tr>
      <w:tr>
        <w:trPr/>
        <w:tc>
          <w:tcPr>
            <w:tcW w:w="1800" w:type="dxa"/>
            <w:tcBorders>
              <w:top w:val="single" w:sz="4" w:space="0" w:color="DDDDDD"/>
              <w:bottom w:val="single" w:sz="4" w:space="0" w:color="DDDDDD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1E2761"/>
                <w:sz w:val="20"/>
                <w:szCs w:val="20"/>
              </w:rPr>
              <w:t>Audience</w:t>
            </w:r>
          </w:p>
        </w:tc>
        <w:tc>
          <w:tcPr>
            <w:tcW w:w="4199" w:type="dxa"/>
            <w:tcBorders>
              <w:top w:val="single" w:sz="4" w:space="0" w:color="DDDDDD"/>
              <w:bottom w:val="single" w:sz="4" w:space="0" w:color="DDDDDD"/>
            </w:tcBorders>
          </w:tcPr>
          <w:p>
            <w:pPr>
              <w:pStyle w:val="Normal"/>
              <w:rPr/>
            </w:pPr>
            <w:r>
              <w:rPr>
                <w:color w:val="5A6270"/>
                <w:sz w:val="20"/>
                <w:szCs w:val="20"/>
              </w:rPr>
              <w:t>Client sponsor, programme management office, delivery team</w:t>
            </w:r>
          </w:p>
        </w:tc>
      </w:tr>
      <w:tr>
        <w:trPr/>
        <w:tc>
          <w:tcPr>
            <w:tcW w:w="1800" w:type="dxa"/>
            <w:tcBorders>
              <w:top w:val="single" w:sz="4" w:space="0" w:color="DDDDDD"/>
              <w:bottom w:val="single" w:sz="4" w:space="0" w:color="DDDDDD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1E2761"/>
                <w:sz w:val="20"/>
                <w:szCs w:val="20"/>
              </w:rPr>
              <w:t>Version</w:t>
            </w:r>
          </w:p>
        </w:tc>
        <w:tc>
          <w:tcPr>
            <w:tcW w:w="4199" w:type="dxa"/>
            <w:tcBorders>
              <w:top w:val="single" w:sz="4" w:space="0" w:color="DDDDDD"/>
              <w:bottom w:val="single" w:sz="4" w:space="0" w:color="DDDDDD"/>
            </w:tcBorders>
          </w:tcPr>
          <w:p>
            <w:pPr>
              <w:pStyle w:val="Normal"/>
              <w:rPr/>
            </w:pPr>
            <w:r>
              <w:rPr>
                <w:color w:val="5A6270"/>
                <w:sz w:val="20"/>
                <w:szCs w:val="20"/>
              </w:rPr>
              <w:t>1.0 (first-meeting edition)</w:t>
            </w:r>
          </w:p>
        </w:tc>
      </w:tr>
      <w:tr>
        <w:trPr/>
        <w:tc>
          <w:tcPr>
            <w:tcW w:w="1800" w:type="dxa"/>
            <w:tcBorders>
              <w:top w:val="single" w:sz="4" w:space="0" w:color="DDDDDD"/>
              <w:bottom w:val="single" w:sz="4" w:space="0" w:color="DDDDDD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1E2761"/>
                <w:sz w:val="20"/>
                <w:szCs w:val="20"/>
              </w:rPr>
              <w:t>Date</w:t>
            </w:r>
          </w:p>
        </w:tc>
        <w:tc>
          <w:tcPr>
            <w:tcW w:w="4199" w:type="dxa"/>
            <w:tcBorders>
              <w:top w:val="single" w:sz="4" w:space="0" w:color="DDDDDD"/>
              <w:bottom w:val="single" w:sz="4" w:space="0" w:color="DDDDDD"/>
            </w:tcBorders>
          </w:tcPr>
          <w:p>
            <w:pPr>
              <w:pStyle w:val="Normal"/>
              <w:rPr/>
            </w:pPr>
            <w:r>
              <w:rPr>
                <w:color w:val="5A6270"/>
                <w:sz w:val="20"/>
                <w:szCs w:val="20"/>
              </w:rPr>
              <w:t>September 2026</w:t>
            </w:r>
          </w:p>
        </w:tc>
      </w:tr>
      <w:tr>
        <w:trPr/>
        <w:tc>
          <w:tcPr>
            <w:tcW w:w="1800" w:type="dxa"/>
            <w:tcBorders>
              <w:top w:val="single" w:sz="4" w:space="0" w:color="DDDDDD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1E2761"/>
                <w:sz w:val="20"/>
                <w:szCs w:val="20"/>
              </w:rPr>
              <w:t>Classification</w:t>
            </w:r>
          </w:p>
        </w:tc>
        <w:tc>
          <w:tcPr>
            <w:tcW w:w="4199" w:type="dxa"/>
            <w:tcBorders>
              <w:top w:val="single" w:sz="4" w:space="0" w:color="DDDDDD"/>
            </w:tcBorders>
          </w:tcPr>
          <w:p>
            <w:pPr>
              <w:pStyle w:val="Normal"/>
              <w:rPr/>
            </w:pPr>
            <w:r>
              <w:rPr>
                <w:color w:val="5A6270"/>
                <w:sz w:val="20"/>
                <w:szCs w:val="20"/>
              </w:rPr>
              <w:t>Confidential - prepared for the client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rPr/>
      </w:pPr>
      <w:r>
        <w:rPr>
          <w:b/>
          <w:bCs/>
          <w:color w:val="1E2761"/>
          <w:sz w:val="32"/>
          <w:szCs w:val="32"/>
        </w:rPr>
        <w:t>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840"/>
              <w:tab w:val="right" w:pos="983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_RefHeading___Toc1804_937233523">
            <w:r>
              <w:rPr>
                <w:rStyle w:val="IndexLink"/>
              </w:rPr>
              <w:t>1. Summary</w:t>
              <w:tab/>
              <w:t>3</w:t>
            </w:r>
          </w:hyperlink>
        </w:p>
        <w:p>
          <w:pPr>
            <w:pStyle w:val="TOC1"/>
            <w:tabs>
              <w:tab w:val="clear" w:pos="9840"/>
              <w:tab w:val="right" w:pos="9839" w:leader="dot"/>
            </w:tabs>
            <w:rPr/>
          </w:pPr>
          <w:hyperlink w:anchor="__RefHeading___Toc1806_937233523">
            <w:r>
              <w:rPr>
                <w:rStyle w:val="IndexLink"/>
              </w:rPr>
              <w:t>2. Phase plan</w:t>
              <w:tab/>
              <w:t>3</w:t>
            </w:r>
          </w:hyperlink>
        </w:p>
        <w:p>
          <w:pPr>
            <w:pStyle w:val="TOC2"/>
            <w:tabs>
              <w:tab w:val="clear" w:pos="9557"/>
              <w:tab w:val="right" w:pos="9839" w:leader="dot"/>
            </w:tabs>
            <w:rPr/>
          </w:pPr>
          <w:hyperlink w:anchor="__RefHeading___Toc1808_937233523">
            <w:r>
              <w:rPr>
                <w:rStyle w:val="IndexLink"/>
              </w:rPr>
              <w:t>Phase 0: Discovery and set-up (weeks 0-2)</w:t>
              <w:tab/>
              <w:t>3</w:t>
            </w:r>
          </w:hyperlink>
        </w:p>
        <w:p>
          <w:pPr>
            <w:pStyle w:val="TOC2"/>
            <w:tabs>
              <w:tab w:val="clear" w:pos="9557"/>
              <w:tab w:val="right" w:pos="9839" w:leader="dot"/>
            </w:tabs>
            <w:rPr/>
          </w:pPr>
          <w:hyperlink w:anchor="__RefHeading___Toc1810_937233523">
            <w:r>
              <w:rPr>
                <w:rStyle w:val="IndexLink"/>
              </w:rPr>
              <w:t>Phase 1: Foundation and working structure (weeks 1-6)</w:t>
              <w:tab/>
              <w:t>4</w:t>
            </w:r>
          </w:hyperlink>
        </w:p>
        <w:p>
          <w:pPr>
            <w:pStyle w:val="TOC2"/>
            <w:tabs>
              <w:tab w:val="clear" w:pos="9557"/>
              <w:tab w:val="right" w:pos="9839" w:leader="dot"/>
            </w:tabs>
            <w:rPr/>
          </w:pPr>
          <w:hyperlink w:anchor="__RefHeading___Toc1812_937233523">
            <w:r>
              <w:rPr>
                <w:rStyle w:val="IndexLink"/>
              </w:rPr>
              <w:t>Phase 2: Verification layer and approval gate (weeks 5-9)</w:t>
              <w:tab/>
              <w:t>4</w:t>
            </w:r>
          </w:hyperlink>
        </w:p>
        <w:p>
          <w:pPr>
            <w:pStyle w:val="TOC2"/>
            <w:tabs>
              <w:tab w:val="clear" w:pos="9557"/>
              <w:tab w:val="right" w:pos="9839" w:leader="dot"/>
            </w:tabs>
            <w:rPr/>
          </w:pPr>
          <w:hyperlink w:anchor="__RefHeading___Toc1814_937233523">
            <w:r>
              <w:rPr>
                <w:rStyle w:val="IndexLink"/>
              </w:rPr>
              <w:t>Phase 3: Pilot with real data (weeks 9-15)</w:t>
              <w:tab/>
              <w:t>4</w:t>
            </w:r>
          </w:hyperlink>
        </w:p>
        <w:p>
          <w:pPr>
            <w:pStyle w:val="TOC2"/>
            <w:tabs>
              <w:tab w:val="clear" w:pos="9557"/>
              <w:tab w:val="right" w:pos="9839" w:leader="dot"/>
            </w:tabs>
            <w:rPr/>
          </w:pPr>
          <w:hyperlink w:anchor="__RefHeading___Toc1816_937233523">
            <w:r>
              <w:rPr>
                <w:rStyle w:val="IndexLink"/>
              </w:rPr>
              <w:t>Phase 4: Production hardening and go-live (weeks 15-20)</w:t>
              <w:tab/>
              <w:t>5</w:t>
            </w:r>
          </w:hyperlink>
        </w:p>
        <w:p>
          <w:pPr>
            <w:pStyle w:val="TOC2"/>
            <w:tabs>
              <w:tab w:val="clear" w:pos="9557"/>
              <w:tab w:val="right" w:pos="9839" w:leader="dot"/>
            </w:tabs>
            <w:rPr/>
          </w:pPr>
          <w:hyperlink w:anchor="__RefHeading___Toc1818_937233523">
            <w:r>
              <w:rPr>
                <w:rStyle w:val="IndexLink"/>
              </w:rPr>
              <w:t>Phase 5: Scale-out roadmap (week 20 onwards)</w:t>
              <w:tab/>
              <w:t>5</w:t>
            </w:r>
          </w:hyperlink>
        </w:p>
        <w:p>
          <w:pPr>
            <w:pStyle w:val="TOC1"/>
            <w:tabs>
              <w:tab w:val="clear" w:pos="9840"/>
              <w:tab w:val="right" w:pos="9839" w:leader="dot"/>
            </w:tabs>
            <w:rPr/>
          </w:pPr>
          <w:hyperlink w:anchor="__RefHeading___Toc1820_937233523">
            <w:r>
              <w:rPr>
                <w:rStyle w:val="IndexLink"/>
              </w:rPr>
              <w:t>3. Team and staffing</w:t>
              <w:tab/>
              <w:t>5</w:t>
            </w:r>
          </w:hyperlink>
        </w:p>
        <w:p>
          <w:pPr>
            <w:pStyle w:val="TOC1"/>
            <w:tabs>
              <w:tab w:val="clear" w:pos="9840"/>
              <w:tab w:val="right" w:pos="9839" w:leader="dot"/>
            </w:tabs>
            <w:rPr/>
          </w:pPr>
          <w:hyperlink w:anchor="__RefHeading___Toc1822_937233523">
            <w:r>
              <w:rPr>
                <w:rStyle w:val="IndexLink"/>
              </w:rPr>
              <w:t>4. Dependencies and lead times</w:t>
              <w:tab/>
              <w:t>6</w:t>
            </w:r>
          </w:hyperlink>
        </w:p>
        <w:p>
          <w:pPr>
            <w:pStyle w:val="TOC1"/>
            <w:tabs>
              <w:tab w:val="clear" w:pos="9840"/>
              <w:tab w:val="right" w:pos="9839" w:leader="dot"/>
            </w:tabs>
            <w:rPr/>
          </w:pPr>
          <w:hyperlink w:anchor="__RefHeading___Toc1824_937233523">
            <w:r>
              <w:rPr>
                <w:rStyle w:val="IndexLink"/>
              </w:rPr>
              <w:t>5. Governance and cadence</w:t>
              <w:tab/>
              <w:t>6</w:t>
            </w:r>
          </w:hyperlink>
        </w:p>
        <w:p>
          <w:pPr>
            <w:pStyle w:val="TOC1"/>
            <w:tabs>
              <w:tab w:val="clear" w:pos="9840"/>
              <w:tab w:val="right" w:pos="9839" w:leader="dot"/>
            </w:tabs>
            <w:rPr/>
          </w:pPr>
          <w:hyperlink w:anchor="__RefHeading___Toc1826_937233523">
            <w:r>
              <w:rPr>
                <w:rStyle w:val="IndexLink"/>
              </w:rPr>
              <w:t>6. Acceptance criteria overview</w:t>
              <w:tab/>
              <w:t>7</w:t>
            </w:r>
          </w:hyperlink>
        </w:p>
        <w:p>
          <w:pPr>
            <w:pStyle w:val="TOC1"/>
            <w:tabs>
              <w:tab w:val="clear" w:pos="9840"/>
              <w:tab w:val="right" w:pos="9839" w:leader="dot"/>
            </w:tabs>
            <w:rPr/>
          </w:pPr>
          <w:hyperlink w:anchor="__RefHeading___Toc1828_937233523">
            <w:r>
              <w:rPr>
                <w:rStyle w:val="IndexLink"/>
              </w:rPr>
              <w:t>7. Options to compress the timeline</w:t>
              <w:tab/>
              <w:t>7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0" w:name="__RefHeading___Toc1804_937233523"/>
      <w:bookmarkEnd w:id="0"/>
      <w:r>
        <w:rPr/>
        <w:t>1. Summary</w:t>
      </w:r>
    </w:p>
    <w:tbl>
      <w:tblPr>
        <w:tblW w:w="9840" w:type="dxa"/>
        <w:jc w:val="left"/>
        <w:tblInd w:w="0" w:type="dxa"/>
        <w:tblLayout w:type="fixed"/>
        <w:tblCellMar>
          <w:top w:w="120" w:type="dxa"/>
          <w:left w:w="200" w:type="dxa"/>
          <w:bottom w:w="120" w:type="dxa"/>
          <w:right w:w="200" w:type="dxa"/>
        </w:tblCellMar>
      </w:tblPr>
      <w:tblGrid>
        <w:gridCol w:w="9840"/>
      </w:tblGrid>
      <w:tr>
        <w:trPr/>
        <w:tc>
          <w:tcPr>
            <w:tcW w:w="9840" w:type="dxa"/>
            <w:tcBorders>
              <w:top w:val="single" w:sz="6" w:space="0" w:color="1C7293"/>
              <w:left w:val="single" w:sz="24" w:space="0" w:color="1C7293"/>
              <w:bottom w:val="single" w:sz="6" w:space="0" w:color="1C7293"/>
              <w:right w:val="single" w:sz="6" w:space="0" w:color="1C7293"/>
            </w:tcBorders>
            <w:shd w:color="auto" w:fill="EEF2FA" w:val="clear"/>
          </w:tcPr>
          <w:p>
            <w:pPr>
              <w:pStyle w:val="Normal"/>
              <w:spacing w:lineRule="exact" w:line="264" w:before="0" w:after="60"/>
              <w:rPr/>
            </w:pPr>
            <w:r>
              <w:rPr>
                <w:b/>
                <w:bCs/>
                <w:color w:val="1E2761"/>
                <w:sz w:val="20"/>
                <w:szCs w:val="20"/>
              </w:rPr>
              <w:t>Integrated working demo at week 8-9. Pilot on real data from week 9. Production go-live at week 20.</w:t>
            </w:r>
          </w:p>
          <w:p>
            <w:pPr>
              <w:pStyle w:val="Normal"/>
              <w:spacing w:lineRule="exact" w:line="264" w:before="0" w:after="60"/>
              <w:rPr/>
            </w:pPr>
            <w:r>
              <w:rPr>
                <w:color w:val="1E2761"/>
                <w:sz w:val="20"/>
                <w:szCs w:val="20"/>
              </w:rPr>
              <w:t>The plan assumes a core team of 3-4 people, weekly client decisions, and sample documents available by the end of week 1. If the client wants an earlier visual, a clickable prototype on sample documents can be shown at week 4.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120" w:after="60"/>
        <w:jc w:val="center"/>
        <w:rPr/>
      </w:pPr>
      <w:r>
        <w:rPr/>
        <w:drawing>
          <wp:inline distT="0" distB="0" distL="0" distR="0">
            <wp:extent cx="6217920" cy="282892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color w:val="5A6270"/>
          <w:sz w:val="18"/>
          <w:szCs w:val="18"/>
        </w:rPr>
        <w:t>Indicative timeline</w:t>
      </w:r>
    </w:p>
    <w:p>
      <w:pPr>
        <w:pStyle w:val="Heading1"/>
        <w:spacing w:before="360" w:after="160"/>
        <w:rPr/>
      </w:pPr>
      <w:bookmarkStart w:id="1" w:name="__RefHeading___Toc1806_937233523"/>
      <w:bookmarkEnd w:id="1"/>
      <w:r>
        <w:rPr/>
        <w:t>2. Phase plan</w:t>
      </w:r>
    </w:p>
    <w:p>
      <w:pPr>
        <w:pStyle w:val="Heading2"/>
        <w:spacing w:before="280" w:after="120"/>
        <w:rPr/>
      </w:pPr>
      <w:bookmarkStart w:id="2" w:name="__RefHeading___Toc1808_937233523"/>
      <w:bookmarkEnd w:id="2"/>
      <w:r>
        <w:rPr/>
        <w:t>Phase 0: Discovery and set-up (weeks 0-2)</w:t>
      </w:r>
    </w:p>
    <w:tbl>
      <w:tblPr>
        <w:tblW w:w="984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2460"/>
        <w:gridCol w:w="7379"/>
      </w:tblGrid>
      <w:tr>
        <w:trPr>
          <w:tblHeader w:val="true"/>
        </w:trPr>
        <w:tc>
          <w:tcPr>
            <w:tcW w:w="246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1E2761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7379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1E2761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>
        <w:trPr/>
        <w:tc>
          <w:tcPr>
            <w:tcW w:w="246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Objectives</w:t>
            </w:r>
          </w:p>
        </w:tc>
        <w:tc>
          <w:tcPr>
            <w:tcW w:w="7379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Fix scope, jurisdictions and residency pattern; obtain sample documents; define decision types and pipeline stages; create environments in the client's cloud account.</w:t>
            </w:r>
          </w:p>
        </w:tc>
      </w:tr>
      <w:tr>
        <w:trPr/>
        <w:tc>
          <w:tcPr>
            <w:tcW w:w="246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Activities</w:t>
            </w:r>
          </w:p>
        </w:tc>
        <w:tc>
          <w:tcPr>
            <w:tcW w:w="7379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Kick-off workshop (half day); two working sessions with management on decision types and "questions we ask most"; one session with relationship managers on categories, stages and the GCC pipeline for the market being entered; identity provider and mailbox platform confirmation; data protection review with the client's legal or compliance contact; environment provisioning with infrastructure as code.</w:t>
            </w:r>
          </w:p>
        </w:tc>
      </w:tr>
      <w:tr>
        <w:trPr/>
        <w:tc>
          <w:tcPr>
            <w:tcW w:w="246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Deliverables</w:t>
            </w:r>
          </w:p>
        </w:tc>
        <w:tc>
          <w:tcPr>
            <w:tcW w:w="7379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Signed-off scope note; decision-type catalogue (first 5-10 types) and evidence checklists; pipeline and stage definitions per category; residency and hosting decision record; golden question set v0 (50 questions); environment access.</w:t>
            </w:r>
          </w:p>
        </w:tc>
      </w:tr>
      <w:tr>
        <w:trPr/>
        <w:tc>
          <w:tcPr>
            <w:tcW w:w="246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Client inputs</w:t>
            </w:r>
          </w:p>
        </w:tc>
        <w:tc>
          <w:tcPr>
            <w:tcW w:w="7379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Sponsor and product owner named; 50-200 sample documents under NDA (mixed formats, a representative spread of languages, some scanned); sample contact list (can be anonymised); access to identity provider tenant.</w:t>
            </w:r>
          </w:p>
        </w:tc>
      </w:tr>
      <w:tr>
        <w:trPr/>
        <w:tc>
          <w:tcPr>
            <w:tcW w:w="246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Exit criteria</w:t>
            </w:r>
          </w:p>
        </w:tc>
        <w:tc>
          <w:tcPr>
            <w:tcW w:w="7379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Scope note signed; environments reachable; sample corpus received.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bookmarkStart w:id="3" w:name="__RefHeading___Toc1810_937233523"/>
      <w:bookmarkEnd w:id="3"/>
      <w:r>
        <w:rPr/>
        <w:t>Phase 1: Foundation and working structure (weeks 1-6)</w:t>
      </w:r>
    </w:p>
    <w:tbl>
      <w:tblPr>
        <w:tblW w:w="984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2460"/>
        <w:gridCol w:w="7379"/>
      </w:tblGrid>
      <w:tr>
        <w:trPr>
          <w:tblHeader w:val="true"/>
        </w:trPr>
        <w:tc>
          <w:tcPr>
            <w:tcW w:w="246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1E2761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7379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1E2761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>
        <w:trPr/>
        <w:tc>
          <w:tcPr>
            <w:tcW w:w="246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Platform (weeks 1-4)</w:t>
            </w:r>
          </w:p>
        </w:tc>
        <w:tc>
          <w:tcPr>
            <w:tcW w:w="7379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Single sign-on and roles; entity registry with import; document store; model gateway with routing policy; job queue; audit log; monitoring and AI tracing.</w:t>
            </w:r>
          </w:p>
        </w:tc>
      </w:tr>
      <w:tr>
        <w:trPr/>
        <w:tc>
          <w:tcPr>
            <w:tcW w:w="246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System 1 (weeks 2-6)</w:t>
            </w:r>
          </w:p>
        </w:tc>
        <w:tc>
          <w:tcPr>
            <w:tcW w:w="7379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Ingestion pipeline for PDF, DOCX, XLSX, PPTX, email; OCR path for scans; chunking, embedding, hybrid retrieval, re-ranking; cited answers with grounding check and refusal; document browser with page viewer; basic admin.</w:t>
            </w:r>
          </w:p>
        </w:tc>
      </w:tr>
      <w:tr>
        <w:trPr/>
        <w:tc>
          <w:tcPr>
            <w:tcW w:w="246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System 2 (weeks 2-6)</w:t>
            </w:r>
          </w:p>
        </w:tc>
        <w:tc>
          <w:tcPr>
            <w:tcW w:w="7379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Organisation, person and relationship records; three category pipelines with configurable stages; kanban and list views; follow-up tasks and reminders; interaction logging; CSV/XLSX import with mapping preview.</w:t>
            </w:r>
          </w:p>
        </w:tc>
      </w:tr>
      <w:tr>
        <w:trPr/>
        <w:tc>
          <w:tcPr>
            <w:tcW w:w="246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Deliverable at week 6</w:t>
            </w:r>
          </w:p>
        </w:tc>
        <w:tc>
          <w:tcPr>
            <w:tcW w:w="7379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"Working structure" review: both systems usable end-to-end on sample data.</w:t>
            </w:r>
          </w:p>
        </w:tc>
      </w:tr>
      <w:tr>
        <w:trPr/>
        <w:tc>
          <w:tcPr>
            <w:tcW w:w="246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Exit criteria</w:t>
            </w:r>
          </w:p>
        </w:tc>
        <w:tc>
          <w:tcPr>
            <w:tcW w:w="7379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Golden set v0: retrieval hit rate above 85%, citation accuracy above 90% on sample corpus; all CRM record types and stage transitions demonstrated; import of a 500-row sample succeeds with validation report.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bookmarkStart w:id="4" w:name="__RefHeading___Toc1812_937233523"/>
      <w:bookmarkEnd w:id="4"/>
      <w:r>
        <w:rPr/>
        <w:t>Phase 2: Verification layer and approval gate (weeks 5-9)</w:t>
      </w:r>
    </w:p>
    <w:tbl>
      <w:tblPr>
        <w:tblW w:w="984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2460"/>
        <w:gridCol w:w="7379"/>
      </w:tblGrid>
      <w:tr>
        <w:trPr>
          <w:tblHeader w:val="true"/>
        </w:trPr>
        <w:tc>
          <w:tcPr>
            <w:tcW w:w="246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1E2761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7379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1E2761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>
        <w:trPr/>
        <w:tc>
          <w:tcPr>
            <w:tcW w:w="246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System 1</w:t>
            </w:r>
          </w:p>
        </w:tc>
        <w:tc>
          <w:tcPr>
            <w:tcW w:w="7379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Claims extraction with schema validation and normalisation; cross-document comparison and contradiction findings; decision checklists and gap findings; dangling-reference detection; findings workbench with owner assignment and resolution; findings surfaced inline in answers.</w:t>
            </w:r>
          </w:p>
        </w:tc>
      </w:tr>
      <w:tr>
        <w:trPr/>
        <w:tc>
          <w:tcPr>
            <w:tcW w:w="246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System 2</w:t>
            </w:r>
          </w:p>
        </w:tc>
        <w:tc>
          <w:tcPr>
            <w:tcW w:w="7379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Outreach request workflow with approval queue, four-eyes rule, escalation, versioning; mailbox connector for sending under approval (Microsoft 365 or Google); WhatsApp Business channel if in scope; dashboards: activity, pipeline by stage, overdue, dormant, approval turnaround; exports.</w:t>
            </w:r>
          </w:p>
        </w:tc>
      </w:tr>
      <w:tr>
        <w:trPr/>
        <w:tc>
          <w:tcPr>
            <w:tcW w:w="246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Integration</w:t>
            </w:r>
          </w:p>
        </w:tc>
        <w:tc>
          <w:tcPr>
            <w:tcW w:w="7379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Shared entity links between claims and relationships; findings shown on relationship pages; CRM attachments pushed to the corpus.</w:t>
            </w:r>
          </w:p>
        </w:tc>
      </w:tr>
      <w:tr>
        <w:trPr/>
        <w:tc>
          <w:tcPr>
            <w:tcW w:w="246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Deliverable at week 8-9</w:t>
            </w:r>
          </w:p>
        </w:tc>
        <w:tc>
          <w:tcPr>
            <w:tcW w:w="7379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Integrated working demo using the demo script in Document 12, on a seeded corpus with known contradictions and gaps.</w:t>
            </w:r>
          </w:p>
        </w:tc>
      </w:tr>
      <w:tr>
        <w:trPr/>
        <w:tc>
          <w:tcPr>
            <w:tcW w:w="246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Exit criteria</w:t>
            </w:r>
          </w:p>
        </w:tc>
        <w:tc>
          <w:tcPr>
            <w:tcW w:w="7379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Seeded contradictions detected at 90%+ with false-positive rate under 15%; checklist gaps computed correctly for all catalogued decision types; approval workflow blocks self-approval and unapproved sends in tests; reports reconcile to database counts. Client go / no-go for pilot.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bookmarkStart w:id="5" w:name="__RefHeading___Toc1814_937233523"/>
      <w:bookmarkEnd w:id="5"/>
      <w:r>
        <w:rPr/>
        <w:t>Phase 3: Pilot with real data (weeks 9-15)</w:t>
      </w:r>
    </w:p>
    <w:tbl>
      <w:tblPr>
        <w:tblW w:w="984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2460"/>
        <w:gridCol w:w="7379"/>
      </w:tblGrid>
      <w:tr>
        <w:trPr>
          <w:tblHeader w:val="true"/>
        </w:trPr>
        <w:tc>
          <w:tcPr>
            <w:tcW w:w="246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1E2761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7379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1E2761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>
        <w:trPr/>
        <w:tc>
          <w:tcPr>
            <w:tcW w:w="246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Activities</w:t>
            </w:r>
          </w:p>
        </w:tc>
        <w:tc>
          <w:tcPr>
            <w:tcW w:w="7379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Load real documents through connectors and uploads; import real contacts and relationships; tune extraction prompts and tolerance rules on real formats; expand golden set to 150-200 questions; weekly evaluation report; train 10-20 pilot users; collect feedback; fix and improve in weekly releases.</w:t>
            </w:r>
          </w:p>
        </w:tc>
      </w:tr>
      <w:tr>
        <w:trPr/>
        <w:tc>
          <w:tcPr>
            <w:tcW w:w="246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Governance</w:t>
            </w:r>
          </w:p>
        </w:tc>
        <w:tc>
          <w:tcPr>
            <w:tcW w:w="7379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Weekly steering call; findings review with management; data protection checkpoint before loading personal data.</w:t>
            </w:r>
          </w:p>
        </w:tc>
      </w:tr>
      <w:tr>
        <w:trPr/>
        <w:tc>
          <w:tcPr>
            <w:tcW w:w="246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Exit criteria</w:t>
            </w:r>
          </w:p>
        </w:tc>
        <w:tc>
          <w:tcPr>
            <w:tcW w:w="7379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Agreed accuracy targets met on the real corpus (proposed: faithfulness above 95%, citation accuracy above 95%, numeric claim precision above 95%); pilot users rate usefulness 4/5 or higher; no severity-1 defects open.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bookmarkStart w:id="6" w:name="__RefHeading___Toc1816_937233523"/>
      <w:bookmarkEnd w:id="6"/>
      <w:r>
        <w:rPr/>
        <w:t>Phase 4: Production hardening and go-live (weeks 15-20)</w:t>
      </w:r>
    </w:p>
    <w:tbl>
      <w:tblPr>
        <w:tblW w:w="984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2460"/>
        <w:gridCol w:w="7379"/>
      </w:tblGrid>
      <w:tr>
        <w:trPr>
          <w:tblHeader w:val="true"/>
        </w:trPr>
        <w:tc>
          <w:tcPr>
            <w:tcW w:w="246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1E2761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7379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1E2761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>
        <w:trPr/>
        <w:tc>
          <w:tcPr>
            <w:tcW w:w="246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Activities</w:t>
            </w:r>
          </w:p>
        </w:tc>
        <w:tc>
          <w:tcPr>
            <w:tcW w:w="7379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Security review and third-party penetration test; backup and disaster-recovery configuration with a restore test; performance test at target concurrency; runbooks and on-call; role-based training for all users; documentation hand-over; production cut-over.</w:t>
            </w:r>
          </w:p>
        </w:tc>
      </w:tr>
      <w:tr>
        <w:trPr/>
        <w:tc>
          <w:tcPr>
            <w:tcW w:w="246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Exit criteria</w:t>
            </w:r>
          </w:p>
        </w:tc>
        <w:tc>
          <w:tcPr>
            <w:tcW w:w="7379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Penetration test findings of high severity closed; restore test passed; SLA and support model signed; production acceptance signed.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spacing w:before="280" w:after="120"/>
        <w:rPr/>
      </w:pPr>
      <w:bookmarkStart w:id="7" w:name="__RefHeading___Toc1818_937233523"/>
      <w:bookmarkEnd w:id="7"/>
      <w:r>
        <w:rPr/>
        <w:t>Phase 5: Scale-out roadmap (week 20 onwards)</w:t>
      </w:r>
    </w:p>
    <w:p>
      <w:pPr>
        <w:pStyle w:val="Normal"/>
        <w:spacing w:lineRule="exact" w:line="276" w:before="0" w:after="120"/>
        <w:rPr/>
      </w:pPr>
      <w:r>
        <w:rPr/>
        <w:t>Options, each scoped and priced separately once the base is live:</w:t>
      </w:r>
    </w:p>
    <w:p>
      <w:pPr>
        <w:pStyle w:val="ListParagraph"/>
        <w:numPr>
          <w:ilvl w:val="0"/>
          <w:numId w:val="3"/>
        </w:numPr>
        <w:spacing w:lineRule="exact" w:line="264" w:before="0" w:after="60"/>
        <w:rPr/>
      </w:pPr>
      <w:r>
        <w:rPr/>
        <w:t>Additional connectors (ERP, document management system, existing CRM, board portal, e-signature).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rPr/>
      </w:pPr>
      <w:r>
        <w:rPr/>
        <w:t>Sovereign deployment (Pattern C): in-region GPU nodes, open-weight model evaluation against the golden set, switch via gateway.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rPr/>
      </w:pPr>
      <w:r>
        <w:rPr/>
        <w:t>Multi-entity tenancy for subsidiaries and joint ventures with separate data boundaries.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rPr/>
      </w:pPr>
      <w:r>
        <w:rPr/>
        <w:t>Advanced analytics: relationship health scoring, investor coverage maps, decision-cycle time.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rPr/>
      </w:pPr>
      <w:r>
        <w:rPr/>
        <w:t>Board-pack and briefing generation from the corpus (drafts only, human-edited).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rPr/>
      </w:pPr>
      <w:r>
        <w:rPr/>
        <w:t>Mobile application if browser access is insufficient.</w:t>
      </w:r>
    </w:p>
    <w:p>
      <w:pPr>
        <w:pStyle w:val="Heading1"/>
        <w:spacing w:before="360" w:after="160"/>
        <w:rPr/>
      </w:pPr>
      <w:bookmarkStart w:id="8" w:name="__RefHeading___Toc1820_937233523"/>
      <w:bookmarkEnd w:id="8"/>
      <w:r>
        <w:rPr/>
        <w:t>3. Team and staffing</w:t>
      </w:r>
    </w:p>
    <w:tbl>
      <w:tblPr>
        <w:tblW w:w="984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2558"/>
        <w:gridCol w:w="1378"/>
        <w:gridCol w:w="5904"/>
      </w:tblGrid>
      <w:tr>
        <w:trPr>
          <w:tblHeader w:val="true"/>
        </w:trPr>
        <w:tc>
          <w:tcPr>
            <w:tcW w:w="2558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1E2761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378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1E2761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Allocation</w:t>
            </w:r>
          </w:p>
        </w:tc>
        <w:tc>
          <w:tcPr>
            <w:tcW w:w="5904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1E2761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Responsibilities</w:t>
            </w:r>
          </w:p>
        </w:tc>
      </w:tr>
      <w:tr>
        <w:trPr/>
        <w:tc>
          <w:tcPr>
            <w:tcW w:w="2558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Engagement lead / solution architect</w:t>
            </w:r>
          </w:p>
        </w:tc>
        <w:tc>
          <w:tcPr>
            <w:tcW w:w="1378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40-50%</w:t>
            </w:r>
          </w:p>
        </w:tc>
        <w:tc>
          <w:tcPr>
            <w:tcW w:w="5904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Scope, architecture decisions, client steering, quality gate</w:t>
            </w:r>
          </w:p>
        </w:tc>
      </w:tr>
      <w:tr>
        <w:trPr/>
        <w:tc>
          <w:tcPr>
            <w:tcW w:w="2558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AI engineer (Python)</w:t>
            </w:r>
          </w:p>
        </w:tc>
        <w:tc>
          <w:tcPr>
            <w:tcW w:w="1378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5904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Ingestion, retrieval, claims ledger, evaluation, model gateway</w:t>
            </w:r>
          </w:p>
        </w:tc>
      </w:tr>
      <w:tr>
        <w:trPr/>
        <w:tc>
          <w:tcPr>
            <w:tcW w:w="2558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Full-stack engineer (TypeScript)</w:t>
            </w:r>
          </w:p>
        </w:tc>
        <w:tc>
          <w:tcPr>
            <w:tcW w:w="1378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100%</w:t>
            </w:r>
          </w:p>
        </w:tc>
        <w:tc>
          <w:tcPr>
            <w:tcW w:w="5904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Web application, Core API, CRM workflow, connectors, reporting</w:t>
            </w:r>
          </w:p>
        </w:tc>
      </w:tr>
      <w:tr>
        <w:trPr/>
        <w:tc>
          <w:tcPr>
            <w:tcW w:w="2558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Second full-stack or AI engineer</w:t>
            </w:r>
          </w:p>
        </w:tc>
        <w:tc>
          <w:tcPr>
            <w:tcW w:w="1378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50-100% from week 5</w:t>
            </w:r>
          </w:p>
        </w:tc>
        <w:tc>
          <w:tcPr>
            <w:tcW w:w="5904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Approval workflow, integrations, throughput on Phase 2</w:t>
            </w:r>
          </w:p>
        </w:tc>
      </w:tr>
      <w:tr>
        <w:trPr/>
        <w:tc>
          <w:tcPr>
            <w:tcW w:w="2558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QA and evaluation analyst</w:t>
            </w:r>
          </w:p>
        </w:tc>
        <w:tc>
          <w:tcPr>
            <w:tcW w:w="1378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30-50%</w:t>
            </w:r>
          </w:p>
        </w:tc>
        <w:tc>
          <w:tcPr>
            <w:tcW w:w="5904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Golden set, test automation, evaluation reports, user acceptance</w:t>
            </w:r>
          </w:p>
        </w:tc>
      </w:tr>
      <w:tr>
        <w:trPr/>
        <w:tc>
          <w:tcPr>
            <w:tcW w:w="2558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Project manager / delivery coordinator</w:t>
            </w:r>
          </w:p>
        </w:tc>
        <w:tc>
          <w:tcPr>
            <w:tcW w:w="1378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30%</w:t>
            </w:r>
          </w:p>
        </w:tc>
        <w:tc>
          <w:tcPr>
            <w:tcW w:w="5904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Plan, risks, client communications, weekly reporting</w:t>
            </w:r>
          </w:p>
        </w:tc>
      </w:tr>
      <w:tr>
        <w:trPr/>
        <w:tc>
          <w:tcPr>
            <w:tcW w:w="2558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UX designer</w:t>
            </w:r>
          </w:p>
        </w:tc>
        <w:tc>
          <w:tcPr>
            <w:tcW w:w="1378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20% (weeks 1-8)</w:t>
            </w:r>
          </w:p>
        </w:tc>
        <w:tc>
          <w:tcPr>
            <w:tcW w:w="5904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Interface design, multilingual layout, usability tests</w:t>
            </w:r>
          </w:p>
        </w:tc>
      </w:tr>
      <w:tr>
        <w:trPr/>
        <w:tc>
          <w:tcPr>
            <w:tcW w:w="2558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Security and DevOps specialist</w:t>
            </w:r>
          </w:p>
        </w:tc>
        <w:tc>
          <w:tcPr>
            <w:tcW w:w="1378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20%, higher in Phase 4</w:t>
            </w:r>
          </w:p>
        </w:tc>
        <w:tc>
          <w:tcPr>
            <w:tcW w:w="5904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Infrastructure as code, hardening, penetration test coordination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lineRule="exact" w:line="276" w:before="0" w:after="120"/>
        <w:rPr/>
      </w:pPr>
      <w:r>
        <w:rPr/>
        <w:t>Client-side roles needed: executive sponsor (1 hour per week), product owner (4-6 hours per week), IT contact for identity and mailbox connection, legal or compliance contact for data protection, 10-20 pilot users in Phase 3.</w:t>
      </w:r>
    </w:p>
    <w:p>
      <w:pPr>
        <w:pStyle w:val="Heading1"/>
        <w:spacing w:before="360" w:after="160"/>
        <w:rPr/>
      </w:pPr>
      <w:bookmarkStart w:id="9" w:name="__RefHeading___Toc1822_937233523"/>
      <w:bookmarkEnd w:id="9"/>
      <w:r>
        <w:rPr/>
        <w:t>4. Dependencies and lead times</w:t>
      </w:r>
    </w:p>
    <w:tbl>
      <w:tblPr>
        <w:tblW w:w="984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3936"/>
        <w:gridCol w:w="2460"/>
        <w:gridCol w:w="3444"/>
      </w:tblGrid>
      <w:tr>
        <w:trPr>
          <w:tblHeader w:val="true"/>
        </w:trPr>
        <w:tc>
          <w:tcPr>
            <w:tcW w:w="3936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1E2761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Dependency</w:t>
            </w:r>
          </w:p>
        </w:tc>
        <w:tc>
          <w:tcPr>
            <w:tcW w:w="246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1E2761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Needed by</w:t>
            </w:r>
          </w:p>
        </w:tc>
        <w:tc>
          <w:tcPr>
            <w:tcW w:w="3444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1E2761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>
        <w:trPr/>
        <w:tc>
          <w:tcPr>
            <w:tcW w:w="3936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Sample documents under NDA</w:t>
            </w:r>
          </w:p>
        </w:tc>
        <w:tc>
          <w:tcPr>
            <w:tcW w:w="246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End of week 1</w:t>
            </w:r>
          </w:p>
        </w:tc>
        <w:tc>
          <w:tcPr>
            <w:tcW w:w="3444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Client</w:t>
            </w:r>
          </w:p>
        </w:tc>
      </w:tr>
      <w:tr>
        <w:trPr/>
        <w:tc>
          <w:tcPr>
            <w:tcW w:w="3936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Cloud account or subscription in chosen region, with billing</w:t>
            </w:r>
          </w:p>
        </w:tc>
        <w:tc>
          <w:tcPr>
            <w:tcW w:w="246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End of week 1</w:t>
            </w:r>
          </w:p>
        </w:tc>
        <w:tc>
          <w:tcPr>
            <w:tcW w:w="3444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Client (we provision inside it)</w:t>
            </w:r>
          </w:p>
        </w:tc>
      </w:tr>
      <w:tr>
        <w:trPr/>
        <w:tc>
          <w:tcPr>
            <w:tcW w:w="3936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Identity provider tenant access for single sign-on</w:t>
            </w:r>
          </w:p>
        </w:tc>
        <w:tc>
          <w:tcPr>
            <w:tcW w:w="246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Week 2</w:t>
            </w:r>
          </w:p>
        </w:tc>
        <w:tc>
          <w:tcPr>
            <w:tcW w:w="3444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Client IT</w:t>
            </w:r>
          </w:p>
        </w:tc>
      </w:tr>
      <w:tr>
        <w:trPr/>
        <w:tc>
          <w:tcPr>
            <w:tcW w:w="3936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Decision-type catalogue and pipeline stages agreed</w:t>
            </w:r>
          </w:p>
        </w:tc>
        <w:tc>
          <w:tcPr>
            <w:tcW w:w="246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Week 2</w:t>
            </w:r>
          </w:p>
        </w:tc>
        <w:tc>
          <w:tcPr>
            <w:tcW w:w="3444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Joint</w:t>
            </w:r>
          </w:p>
        </w:tc>
      </w:tr>
      <w:tr>
        <w:trPr/>
        <w:tc>
          <w:tcPr>
            <w:tcW w:w="3936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Mailbox platform admin consent (Graph or Google)</w:t>
            </w:r>
          </w:p>
        </w:tc>
        <w:tc>
          <w:tcPr>
            <w:tcW w:w="246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Week 5</w:t>
            </w:r>
          </w:p>
        </w:tc>
        <w:tc>
          <w:tcPr>
            <w:tcW w:w="3444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Client IT</w:t>
            </w:r>
          </w:p>
        </w:tc>
      </w:tr>
      <w:tr>
        <w:trPr/>
        <w:tc>
          <w:tcPr>
            <w:tcW w:w="3936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Real documents and contacts for pilot</w:t>
            </w:r>
          </w:p>
        </w:tc>
        <w:tc>
          <w:tcPr>
            <w:tcW w:w="246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Week 9</w:t>
            </w:r>
          </w:p>
        </w:tc>
        <w:tc>
          <w:tcPr>
            <w:tcW w:w="3444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Client</w:t>
            </w:r>
          </w:p>
        </w:tc>
      </w:tr>
      <w:tr>
        <w:trPr/>
        <w:tc>
          <w:tcPr>
            <w:tcW w:w="3936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Data protection sign-off for personal data</w:t>
            </w:r>
          </w:p>
        </w:tc>
        <w:tc>
          <w:tcPr>
            <w:tcW w:w="246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Before week 9</w:t>
            </w:r>
          </w:p>
        </w:tc>
        <w:tc>
          <w:tcPr>
            <w:tcW w:w="3444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Client legal / compliance</w:t>
            </w:r>
          </w:p>
        </w:tc>
      </w:tr>
      <w:tr>
        <w:trPr/>
        <w:tc>
          <w:tcPr>
            <w:tcW w:w="3936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Penetration test vendor booking</w:t>
            </w:r>
          </w:p>
        </w:tc>
        <w:tc>
          <w:tcPr>
            <w:tcW w:w="2460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Week 12 for week 16 test</w:t>
            </w:r>
          </w:p>
        </w:tc>
        <w:tc>
          <w:tcPr>
            <w:tcW w:w="3444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Joint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360" w:after="160"/>
        <w:rPr/>
      </w:pPr>
      <w:bookmarkStart w:id="10" w:name="__RefHeading___Toc1824_937233523"/>
      <w:bookmarkEnd w:id="10"/>
      <w:r>
        <w:rPr/>
        <w:t>5. Governance and cadence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rPr/>
      </w:pPr>
      <w:r>
        <w:rPr>
          <w:b/>
          <w:bCs/>
        </w:rPr>
        <w:t>Weekly</w:t>
      </w:r>
      <w:r>
        <w:rPr/>
        <w:t>: 45-minute steering call (sponsor, product owner, engagement lead): progress, decisions needed, risks.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rPr/>
      </w:pPr>
      <w:r>
        <w:rPr>
          <w:b/>
          <w:bCs/>
        </w:rPr>
        <w:t>Fortnightly</w:t>
      </w:r>
      <w:r>
        <w:rPr/>
        <w:t>: demonstration of working software to the wider user group.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rPr/>
      </w:pPr>
      <w:r>
        <w:rPr>
          <w:b/>
          <w:bCs/>
        </w:rPr>
        <w:t>Milestone reviews</w:t>
      </w:r>
      <w:r>
        <w:rPr/>
        <w:t>: weeks 2, 6, 9, 15, 20; each with a written acceptance note.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rPr/>
      </w:pPr>
      <w:r>
        <w:rPr>
          <w:b/>
          <w:bCs/>
        </w:rPr>
        <w:t>Change control</w:t>
      </w:r>
      <w:r>
        <w:rPr/>
        <w:t>: scope changes recorded with impact on time and cost; approved by sponsor.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rPr/>
      </w:pPr>
      <w:r>
        <w:rPr>
          <w:b/>
          <w:bCs/>
        </w:rPr>
        <w:t>Reporting</w:t>
      </w:r>
      <w:r>
        <w:rPr/>
        <w:t>: one-page weekly status (RAG, milestones, risks, decisions).</w:t>
      </w:r>
    </w:p>
    <w:p>
      <w:pPr>
        <w:pStyle w:val="Heading1"/>
        <w:spacing w:before="360" w:after="160"/>
        <w:rPr/>
      </w:pPr>
      <w:bookmarkStart w:id="11" w:name="__RefHeading___Toc1826_937233523"/>
      <w:bookmarkEnd w:id="11"/>
      <w:r>
        <w:rPr/>
        <w:t>6. Acceptance criteria overview</w:t>
      </w:r>
    </w:p>
    <w:tbl>
      <w:tblPr>
        <w:tblW w:w="984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2952"/>
        <w:gridCol w:w="6887"/>
      </w:tblGrid>
      <w:tr>
        <w:trPr>
          <w:tblHeader w:val="true"/>
        </w:trPr>
        <w:tc>
          <w:tcPr>
            <w:tcW w:w="2952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1E2761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</w:p>
        </w:tc>
        <w:tc>
          <w:tcPr>
            <w:tcW w:w="688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1E2761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Criterion</w:t>
            </w:r>
          </w:p>
        </w:tc>
      </w:tr>
      <w:tr>
        <w:trPr/>
        <w:tc>
          <w:tcPr>
            <w:tcW w:w="2952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Retrieval</w:t>
            </w:r>
          </w:p>
        </w:tc>
        <w:tc>
          <w:tcPr>
            <w:tcW w:w="688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Golden-set hit rate (correct source in top results) above 90% at pilot exit</w:t>
            </w:r>
          </w:p>
        </w:tc>
      </w:tr>
      <w:tr>
        <w:trPr/>
        <w:tc>
          <w:tcPr>
            <w:tcW w:w="2952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Answer faithfulness</w:t>
            </w:r>
          </w:p>
        </w:tc>
        <w:tc>
          <w:tcPr>
            <w:tcW w:w="688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95%+ of answer sentences supported by cited passages (independent grounding check)</w:t>
            </w:r>
          </w:p>
        </w:tc>
      </w:tr>
      <w:tr>
        <w:trPr/>
        <w:tc>
          <w:tcPr>
            <w:tcW w:w="2952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Refusal correctness</w:t>
            </w:r>
          </w:p>
        </w:tc>
        <w:tc>
          <w:tcPr>
            <w:tcW w:w="688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90%+ of questions with no answer in the corpus are declined rather than guessed</w:t>
            </w:r>
          </w:p>
        </w:tc>
      </w:tr>
      <w:tr>
        <w:trPr/>
        <w:tc>
          <w:tcPr>
            <w:tcW w:w="2952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Claims extraction</w:t>
            </w:r>
          </w:p>
        </w:tc>
        <w:tc>
          <w:tcPr>
            <w:tcW w:w="688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Numeric field precision 95%+, recall 90%+ on the labelled sample</w:t>
            </w:r>
          </w:p>
        </w:tc>
      </w:tr>
      <w:tr>
        <w:trPr/>
        <w:tc>
          <w:tcPr>
            <w:tcW w:w="2952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Contradiction detection</w:t>
            </w:r>
          </w:p>
        </w:tc>
        <w:tc>
          <w:tcPr>
            <w:tcW w:w="688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90%+ of seeded conflicts detected; under 15% false positives</w:t>
            </w:r>
          </w:p>
        </w:tc>
      </w:tr>
      <w:tr>
        <w:trPr/>
        <w:tc>
          <w:tcPr>
            <w:tcW w:w="2952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Gap tracking</w:t>
            </w:r>
          </w:p>
        </w:tc>
        <w:tc>
          <w:tcPr>
            <w:tcW w:w="688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100% of catalogued checklist items evaluated correctly on test decisions</w:t>
            </w:r>
          </w:p>
        </w:tc>
      </w:tr>
      <w:tr>
        <w:trPr/>
        <w:tc>
          <w:tcPr>
            <w:tcW w:w="2952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Approval gate</w:t>
            </w:r>
          </w:p>
        </w:tc>
        <w:tc>
          <w:tcPr>
            <w:tcW w:w="688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Zero sends without an approval record from a different user (verified by automated tests and audit query)</w:t>
            </w:r>
          </w:p>
        </w:tc>
      </w:tr>
      <w:tr>
        <w:trPr/>
        <w:tc>
          <w:tcPr>
            <w:tcW w:w="2952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Reporting</w:t>
            </w:r>
          </w:p>
        </w:tc>
        <w:tc>
          <w:tcPr>
            <w:tcW w:w="688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Dashboard figures reconcile to database counts; overdue list matches follow-up table</w:t>
            </w:r>
          </w:p>
        </w:tc>
      </w:tr>
      <w:tr>
        <w:trPr/>
        <w:tc>
          <w:tcPr>
            <w:tcW w:w="2952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688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Answers in under 15 seconds for 95% of questions; ingestion throughput 500+ pages per hour on pilot infrastructure</w:t>
            </w:r>
          </w:p>
        </w:tc>
      </w:tr>
      <w:tr>
        <w:trPr/>
        <w:tc>
          <w:tcPr>
            <w:tcW w:w="2952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Security</w:t>
            </w:r>
          </w:p>
        </w:tc>
        <w:tc>
          <w:tcPr>
            <w:tcW w:w="6887" w:type="dxa"/>
            <w:tcBorders>
              <w:top w:val="single" w:sz="4" w:space="0" w:color="C9CFDD"/>
              <w:left w:val="single" w:sz="4" w:space="0" w:color="C9CFDD"/>
              <w:bottom w:val="single" w:sz="4" w:space="0" w:color="C9CFDD"/>
              <w:right w:val="single" w:sz="4" w:space="0" w:color="C9CFDD"/>
            </w:tcBorders>
            <w:shd w:color="auto" w:fill="F7F8FB" w:val="clear"/>
            <w:vAlign w:val="center"/>
          </w:tcPr>
          <w:p>
            <w:pPr>
              <w:pStyle w:val="Normal"/>
              <w:spacing w:lineRule="exact" w:line="252" w:before="0" w:after="40"/>
              <w:jc w:val="left"/>
              <w:rPr/>
            </w:pPr>
            <w:r>
              <w:rPr>
                <w:sz w:val="18"/>
                <w:szCs w:val="18"/>
              </w:rPr>
              <w:t>No high-severity findings open after penetration test; SSO and MFA enforced; audit chain verifies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spacing w:before="360" w:after="160"/>
        <w:rPr/>
      </w:pPr>
      <w:bookmarkStart w:id="12" w:name="__RefHeading___Toc1828_937233523"/>
      <w:bookmarkEnd w:id="12"/>
      <w:r>
        <w:rPr/>
        <w:t>7. Options to compress the timeline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rPr/>
      </w:pPr>
      <w:r>
        <w:rPr>
          <w:b/>
          <w:bCs/>
        </w:rPr>
        <w:t>Clickable prototype at week 4</w:t>
      </w:r>
      <w:r>
        <w:rPr/>
        <w:t>: assistant Q&amp;A on sample documents and a CRM pipeline board with sample contacts; useful for an early executive preview. Contradiction detection and approval gate are not yet present.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rPr/>
      </w:pPr>
      <w:r>
        <w:rPr>
          <w:b/>
          <w:bCs/>
        </w:rPr>
        <w:t>Parallel teams</w:t>
      </w:r>
      <w:r>
        <w:rPr/>
        <w:t>: a second engineer from week 2 rather than week 5 can bring the integrated demo forward by about one week at additional cost.</w:t>
      </w:r>
    </w:p>
    <w:p>
      <w:pPr>
        <w:pStyle w:val="ListParagraph"/>
        <w:numPr>
          <w:ilvl w:val="0"/>
          <w:numId w:val="1"/>
        </w:numPr>
        <w:spacing w:lineRule="exact" w:line="264" w:before="0" w:after="60"/>
        <w:rPr/>
      </w:pPr>
      <w:r>
        <w:rPr>
          <w:b/>
          <w:bCs/>
        </w:rPr>
        <w:t>What we would not compress</w:t>
      </w:r>
      <w:r>
        <w:rPr/>
        <w:t>: discovery (a wrong decision on residency or identity costs far more later) and the pilot on real data (accuracy targets must be measured on real formats).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200" w:right="1200" w:gutter="0" w:header="708" w:top="1200" w:footer="708" w:bottom="110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right" w:pos="9840" w:leader="none"/>
      </w:tabs>
      <w:rPr/>
    </w:pPr>
    <w:r>
      <w:rPr>
        <w:color w:val="5A6270"/>
        <w:sz w:val="16"/>
        <w:szCs w:val="16"/>
      </w:rPr>
      <w:t>Confidential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color w:val="5A6270"/>
        <w:sz w:val="16"/>
        <w:szCs w:val="16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right" w:pos="9840" w:leader="none"/>
      </w:tabs>
      <w:rPr/>
    </w:pPr>
    <w:r>
      <w:rPr>
        <w:color w:val="5A6270"/>
        <w:sz w:val="16"/>
        <w:szCs w:val="16"/>
      </w:rPr>
      <w:t>Confidential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color w:val="5A6270"/>
        <w:sz w:val="16"/>
        <w:szCs w:val="16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right" w:pos="9840" w:leader="none"/>
      </w:tabs>
      <w:rPr/>
    </w:pPr>
    <w:r>
      <w:rPr>
        <w:color w:val="5A6270"/>
        <w:sz w:val="16"/>
        <w:szCs w:val="16"/>
      </w:rPr>
      <w:t>Implementation Roadmap</w:t>
      <w:tab/>
      <w:t>PROPOSAL PACKAGE  |  DOCUMENT 04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right" w:pos="9840" w:leader="none"/>
      </w:tabs>
      <w:rPr/>
    </w:pPr>
    <w:r>
      <w:rPr>
        <w:color w:val="5A6270"/>
        <w:sz w:val="16"/>
        <w:szCs w:val="16"/>
      </w:rPr>
      <w:t>Implementation Roadmap</w:t>
      <w:tab/>
      <w:t>PROPOSAL PACKAGE  |  DOCUMENT 04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40" w:hanging="27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1000" w:hanging="270"/>
      </w:pPr>
      <w:rPr>
        <w:rFonts w:ascii="Symbol" w:hAnsi="Symbol" w:cs="Symbol" w:hint="default"/>
      </w:rPr>
    </w:lvl>
    <w:lvl w:ilvl="2">
      <w:start w:val="1"/>
      <w:numFmt w:val="bullet"/>
      <w:lvlText w:val="·"/>
      <w:lvlJc w:val="left"/>
      <w:pPr>
        <w:tabs>
          <w:tab w:val="num" w:pos="0"/>
        </w:tabs>
        <w:ind w:left="1440" w:hanging="27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222222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222222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>
      <w:outlineLvl w:val="0"/>
    </w:pPr>
    <w:rPr>
      <w:rFonts w:ascii="Arial" w:hAnsi="Arial" w:eastAsia="Arial" w:cs="Arial"/>
      <w:b/>
      <w:bCs/>
      <w:color w:val="1E2761"/>
      <w:sz w:val="34"/>
      <w:szCs w:val="34"/>
    </w:rPr>
  </w:style>
  <w:style w:type="paragraph" w:styleId="Heading2">
    <w:name w:val="Heading 2"/>
    <w:basedOn w:val="Heading"/>
    <w:qFormat/>
    <w:pPr>
      <w:outlineLvl w:val="1"/>
    </w:pPr>
    <w:rPr>
      <w:rFonts w:ascii="Arial" w:hAnsi="Arial" w:eastAsia="Arial" w:cs="Arial"/>
      <w:b/>
      <w:bCs/>
      <w:color w:val="1C7293"/>
      <w:sz w:val="26"/>
      <w:szCs w:val="26"/>
    </w:rPr>
  </w:style>
  <w:style w:type="paragraph" w:styleId="Heading3">
    <w:name w:val="Heading 3"/>
    <w:basedOn w:val="Heading"/>
    <w:qFormat/>
    <w:pPr>
      <w:outlineLvl w:val="2"/>
    </w:pPr>
    <w:rPr>
      <w:rFonts w:ascii="Arial" w:hAnsi="Arial" w:eastAsia="Arial" w:cs="Arial"/>
      <w:b/>
      <w:bCs/>
      <w:color w:val="1E2761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222222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222222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84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557" w:leader="dot"/>
      </w:tabs>
      <w:ind w:hanging="0" w:left="283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7</Pages>
  <Words>1506</Words>
  <Characters>8916</Characters>
  <CharactersWithSpaces>10225</CharactersWithSpaces>
  <Paragraphs>188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2026-09-07T12:33:03Z</dcterms:created>
  <dc:creator>Proposal team</dc:creator>
  <dc:description/>
  <dc:language>en-US</dc:language>
  <cp:lastModifiedBy/>
  <dcterms:modified xsi:type="dcterms:W3CDTF">2026-09-07T12:33:13Z</dcterms:modified>
  <cp:revision>2</cp:revision>
  <dc:subject/>
  <dc:title>Implementation Roadmap and Timeline</dc:title>
</cp:coreProperties>
</file>