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ECBF8" w14:textId="77777777" w:rsidR="00747EDF" w:rsidRDefault="00747EDF">
      <w:pPr>
        <w:spacing w:after="200"/>
      </w:pPr>
    </w:p>
    <w:p w14:paraId="1AB3EA1F" w14:textId="77777777" w:rsidR="00747EDF" w:rsidRDefault="00747EDF">
      <w:pPr>
        <w:spacing w:after="200"/>
      </w:pPr>
    </w:p>
    <w:p w14:paraId="032978DD" w14:textId="77777777" w:rsidR="00747EDF" w:rsidRDefault="00747EDF">
      <w:pPr>
        <w:spacing w:after="200"/>
      </w:pPr>
    </w:p>
    <w:p w14:paraId="690E6257" w14:textId="77777777" w:rsidR="00747EDF" w:rsidRDefault="00747EDF">
      <w:pPr>
        <w:spacing w:after="200"/>
      </w:pPr>
    </w:p>
    <w:p w14:paraId="67DF9C51" w14:textId="77777777" w:rsidR="00747EDF" w:rsidRDefault="00747EDF">
      <w:pPr>
        <w:spacing w:after="200"/>
      </w:pPr>
    </w:p>
    <w:p w14:paraId="087CB1CF" w14:textId="77777777" w:rsidR="00747EDF" w:rsidRDefault="00000000">
      <w:pPr>
        <w:spacing w:after="100"/>
        <w:jc w:val="center"/>
      </w:pPr>
      <w:r>
        <w:rPr>
          <w:b/>
          <w:bCs/>
          <w:color w:val="666666"/>
          <w:sz w:val="28"/>
          <w:szCs w:val="28"/>
        </w:rPr>
        <w:t>MARKET RESEARCH STUDY</w:t>
      </w:r>
    </w:p>
    <w:p w14:paraId="32BE18A2" w14:textId="77777777" w:rsidR="00747EDF" w:rsidRDefault="00747EDF">
      <w:pPr>
        <w:spacing w:after="40"/>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47EDF" w14:paraId="0FE1610C" w14:textId="77777777">
        <w:tblPrEx>
          <w:tblCellMar>
            <w:top w:w="0" w:type="dxa"/>
            <w:bottom w:w="0" w:type="dxa"/>
          </w:tblCellMar>
        </w:tblPrEx>
        <w:tc>
          <w:tcPr>
            <w:tcW w:w="9360" w:type="dxa"/>
            <w:tcBorders>
              <w:top w:val="none" w:sz="0" w:space="0" w:color="FFFFFF"/>
              <w:left w:val="none" w:sz="0" w:space="0" w:color="FFFFFF"/>
              <w:bottom w:val="single" w:sz="6" w:space="0" w:color="1B4F72"/>
              <w:right w:val="none" w:sz="0" w:space="0" w:color="FFFFFF"/>
            </w:tcBorders>
          </w:tcPr>
          <w:p w14:paraId="41C3CECD" w14:textId="77777777" w:rsidR="00747EDF" w:rsidRDefault="00747EDF"/>
        </w:tc>
      </w:tr>
    </w:tbl>
    <w:p w14:paraId="5454C347" w14:textId="77777777" w:rsidR="00747EDF" w:rsidRDefault="00747EDF">
      <w:pPr>
        <w:spacing w:after="200"/>
      </w:pPr>
    </w:p>
    <w:p w14:paraId="52D4644B" w14:textId="77777777" w:rsidR="00747EDF" w:rsidRDefault="00000000">
      <w:pPr>
        <w:spacing w:after="200"/>
        <w:jc w:val="center"/>
      </w:pPr>
      <w:r>
        <w:rPr>
          <w:b/>
          <w:bCs/>
          <w:color w:val="1B4F72"/>
          <w:sz w:val="52"/>
          <w:szCs w:val="52"/>
        </w:rPr>
        <w:t>RCU Investigation Platform</w:t>
      </w:r>
    </w:p>
    <w:p w14:paraId="3918617F" w14:textId="77777777" w:rsidR="00747EDF" w:rsidRDefault="00000000">
      <w:pPr>
        <w:spacing w:after="120"/>
        <w:jc w:val="center"/>
      </w:pPr>
      <w:r>
        <w:rPr>
          <w:color w:val="2E86C1"/>
          <w:sz w:val="32"/>
          <w:szCs w:val="32"/>
        </w:rPr>
        <w:t>for India’s NBFCs &amp; Financial Institutions</w:t>
      </w:r>
    </w:p>
    <w:p w14:paraId="77610D37" w14:textId="77777777" w:rsidR="00747EDF" w:rsidRDefault="00747EDF">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47EDF" w14:paraId="2C4A6927" w14:textId="77777777">
        <w:tblPrEx>
          <w:tblCellMar>
            <w:top w:w="0" w:type="dxa"/>
            <w:bottom w:w="0" w:type="dxa"/>
          </w:tblCellMar>
        </w:tblPrEx>
        <w:tc>
          <w:tcPr>
            <w:tcW w:w="9360" w:type="dxa"/>
            <w:tcBorders>
              <w:top w:val="single" w:sz="6" w:space="0" w:color="1B4F72"/>
              <w:left w:val="none" w:sz="0" w:space="0" w:color="FFFFFF"/>
              <w:bottom w:val="none" w:sz="0" w:space="0" w:color="FFFFFF"/>
              <w:right w:val="none" w:sz="0" w:space="0" w:color="FFFFFF"/>
            </w:tcBorders>
          </w:tcPr>
          <w:p w14:paraId="6144ED24" w14:textId="77777777" w:rsidR="00747EDF" w:rsidRDefault="00747EDF"/>
        </w:tc>
      </w:tr>
    </w:tbl>
    <w:p w14:paraId="3DB0C64C" w14:textId="77777777" w:rsidR="00747EDF" w:rsidRDefault="00747EDF">
      <w:pPr>
        <w:spacing w:after="200"/>
      </w:pPr>
    </w:p>
    <w:p w14:paraId="41B4363D" w14:textId="77777777" w:rsidR="00747EDF" w:rsidRDefault="00747EDF">
      <w:pPr>
        <w:spacing w:after="200"/>
      </w:pPr>
    </w:p>
    <w:p w14:paraId="399199D4" w14:textId="77777777" w:rsidR="00747EDF" w:rsidRDefault="00000000">
      <w:pPr>
        <w:spacing w:after="60"/>
        <w:jc w:val="center"/>
      </w:pPr>
      <w:r>
        <w:rPr>
          <w:color w:val="555555"/>
        </w:rPr>
        <w:t>Comprehensive Market Landscape, Competitive Analysis,</w:t>
      </w:r>
    </w:p>
    <w:p w14:paraId="21C7216D" w14:textId="77777777" w:rsidR="00747EDF" w:rsidRDefault="00000000">
      <w:pPr>
        <w:spacing w:after="60"/>
        <w:jc w:val="center"/>
      </w:pPr>
      <w:r>
        <w:rPr>
          <w:color w:val="555555"/>
        </w:rPr>
        <w:t>Regulatory Framework &amp; Go-to-Market Strategy</w:t>
      </w:r>
    </w:p>
    <w:p w14:paraId="6F5A0A0B" w14:textId="77777777" w:rsidR="00747EDF" w:rsidRDefault="00747EDF">
      <w:pPr>
        <w:spacing w:after="200"/>
      </w:pPr>
    </w:p>
    <w:p w14:paraId="6C4031B8" w14:textId="77777777" w:rsidR="00747EDF" w:rsidRDefault="00747EDF">
      <w:pPr>
        <w:spacing w:after="200"/>
      </w:pPr>
    </w:p>
    <w:p w14:paraId="75C04512" w14:textId="77777777" w:rsidR="00747EDF" w:rsidRDefault="00747EDF">
      <w:pPr>
        <w:spacing w:after="200"/>
      </w:pPr>
    </w:p>
    <w:p w14:paraId="6C26ACA9" w14:textId="77777777" w:rsidR="00747EDF" w:rsidRDefault="00747EDF">
      <w:pPr>
        <w:spacing w:after="200"/>
      </w:pPr>
    </w:p>
    <w:p w14:paraId="22BAC99B" w14:textId="77777777" w:rsidR="00747EDF" w:rsidRDefault="00747EDF">
      <w:pPr>
        <w:spacing w:after="200"/>
      </w:pPr>
    </w:p>
    <w:p w14:paraId="72D4FCAC" w14:textId="77777777" w:rsidR="00747EDF" w:rsidRDefault="00000000">
      <w:pPr>
        <w:spacing w:after="60"/>
        <w:jc w:val="center"/>
      </w:pPr>
      <w:r>
        <w:rPr>
          <w:b/>
          <w:bCs/>
          <w:color w:val="1B4F72"/>
        </w:rPr>
        <w:t>February 2026</w:t>
      </w:r>
    </w:p>
    <w:p w14:paraId="6FEE499E" w14:textId="77777777" w:rsidR="00747EDF" w:rsidRDefault="00000000">
      <w:pPr>
        <w:jc w:val="center"/>
      </w:pPr>
      <w:r>
        <w:rPr>
          <w:i/>
          <w:iCs/>
          <w:color w:val="999999"/>
          <w:sz w:val="20"/>
          <w:szCs w:val="20"/>
        </w:rPr>
        <w:t>Confidential</w:t>
      </w:r>
    </w:p>
    <w:p w14:paraId="238B2B69" w14:textId="77777777" w:rsidR="00747EDF" w:rsidRDefault="00747EDF">
      <w:pPr>
        <w:sectPr w:rsidR="00747EDF">
          <w:pgSz w:w="12240" w:h="15840"/>
          <w:pgMar w:top="1440" w:right="1440" w:bottom="1440" w:left="1440" w:header="708" w:footer="708" w:gutter="0"/>
          <w:cols w:space="720"/>
          <w:docGrid w:linePitch="360"/>
        </w:sectPr>
      </w:pPr>
    </w:p>
    <w:p w14:paraId="2D0D1C1C" w14:textId="77777777" w:rsidR="00747EDF" w:rsidRDefault="00000000">
      <w:pPr>
        <w:pStyle w:val="Heading1"/>
      </w:pPr>
      <w:bookmarkStart w:id="0" w:name="_Toc221626095"/>
      <w:r>
        <w:lastRenderedPageBreak/>
        <w:t>Table of Contents</w:t>
      </w:r>
      <w:bookmarkEnd w:id="0"/>
    </w:p>
    <w:sdt>
      <w:sdtPr>
        <w:alias w:val="Table of Contents"/>
        <w:id w:val="-2050747034"/>
      </w:sdtPr>
      <w:sdtContent>
        <w:p w14:paraId="6AFC2427" w14:textId="77777777" w:rsidR="00866E0B" w:rsidRDefault="00000000">
          <w:pPr>
            <w:pStyle w:val="TOC1"/>
            <w:tabs>
              <w:tab w:val="right" w:leader="dot" w:pos="9350"/>
            </w:tabs>
            <w:rPr>
              <w:noProof/>
            </w:rPr>
          </w:pPr>
          <w:r>
            <w:fldChar w:fldCharType="begin"/>
          </w:r>
          <w:r>
            <w:instrText>TOC \h \o "1-3"</w:instrText>
          </w:r>
          <w:r>
            <w:fldChar w:fldCharType="separate"/>
          </w:r>
          <w:hyperlink w:anchor="_Toc221626095" w:history="1">
            <w:r w:rsidR="00866E0B" w:rsidRPr="008105B6">
              <w:rPr>
                <w:rStyle w:val="Hyperlink"/>
                <w:noProof/>
              </w:rPr>
              <w:t>Table of Contents</w:t>
            </w:r>
            <w:r w:rsidR="00866E0B">
              <w:rPr>
                <w:noProof/>
              </w:rPr>
              <w:tab/>
            </w:r>
            <w:r w:rsidR="00866E0B">
              <w:rPr>
                <w:noProof/>
              </w:rPr>
              <w:fldChar w:fldCharType="begin"/>
            </w:r>
            <w:r w:rsidR="00866E0B">
              <w:rPr>
                <w:noProof/>
              </w:rPr>
              <w:instrText xml:space="preserve"> PAGEREF _Toc221626095 \h </w:instrText>
            </w:r>
            <w:r w:rsidR="00866E0B">
              <w:rPr>
                <w:noProof/>
              </w:rPr>
            </w:r>
            <w:r w:rsidR="00866E0B">
              <w:rPr>
                <w:noProof/>
              </w:rPr>
              <w:fldChar w:fldCharType="separate"/>
            </w:r>
            <w:r w:rsidR="00866E0B">
              <w:rPr>
                <w:noProof/>
              </w:rPr>
              <w:t>1</w:t>
            </w:r>
            <w:r w:rsidR="00866E0B">
              <w:rPr>
                <w:noProof/>
              </w:rPr>
              <w:fldChar w:fldCharType="end"/>
            </w:r>
          </w:hyperlink>
        </w:p>
        <w:p w14:paraId="6603DF08" w14:textId="77777777" w:rsidR="00866E0B" w:rsidRDefault="00866E0B">
          <w:pPr>
            <w:pStyle w:val="TOC1"/>
            <w:tabs>
              <w:tab w:val="right" w:leader="dot" w:pos="9350"/>
            </w:tabs>
            <w:rPr>
              <w:noProof/>
            </w:rPr>
          </w:pPr>
          <w:hyperlink w:anchor="_Toc221626096" w:history="1">
            <w:r w:rsidRPr="008105B6">
              <w:rPr>
                <w:rStyle w:val="Hyperlink"/>
                <w:noProof/>
              </w:rPr>
              <w:t>1. Executive Summary</w:t>
            </w:r>
            <w:r>
              <w:rPr>
                <w:noProof/>
              </w:rPr>
              <w:tab/>
            </w:r>
            <w:r>
              <w:rPr>
                <w:noProof/>
              </w:rPr>
              <w:fldChar w:fldCharType="begin"/>
            </w:r>
            <w:r>
              <w:rPr>
                <w:noProof/>
              </w:rPr>
              <w:instrText xml:space="preserve"> PAGEREF _Toc221626096 \h </w:instrText>
            </w:r>
            <w:r>
              <w:rPr>
                <w:noProof/>
              </w:rPr>
            </w:r>
            <w:r>
              <w:rPr>
                <w:noProof/>
              </w:rPr>
              <w:fldChar w:fldCharType="separate"/>
            </w:r>
            <w:r>
              <w:rPr>
                <w:noProof/>
              </w:rPr>
              <w:t>1</w:t>
            </w:r>
            <w:r>
              <w:rPr>
                <w:noProof/>
              </w:rPr>
              <w:fldChar w:fldCharType="end"/>
            </w:r>
          </w:hyperlink>
        </w:p>
        <w:p w14:paraId="3D902147" w14:textId="77777777" w:rsidR="00866E0B" w:rsidRDefault="00866E0B">
          <w:pPr>
            <w:pStyle w:val="TOC1"/>
            <w:tabs>
              <w:tab w:val="right" w:leader="dot" w:pos="9350"/>
            </w:tabs>
            <w:rPr>
              <w:noProof/>
            </w:rPr>
          </w:pPr>
          <w:hyperlink w:anchor="_Toc221626097" w:history="1">
            <w:r w:rsidRPr="008105B6">
              <w:rPr>
                <w:rStyle w:val="Hyperlink"/>
                <w:noProof/>
              </w:rPr>
              <w:t>2. India NBFC &amp; FI Market Overview</w:t>
            </w:r>
            <w:r>
              <w:rPr>
                <w:noProof/>
              </w:rPr>
              <w:tab/>
            </w:r>
            <w:r>
              <w:rPr>
                <w:noProof/>
              </w:rPr>
              <w:fldChar w:fldCharType="begin"/>
            </w:r>
            <w:r>
              <w:rPr>
                <w:noProof/>
              </w:rPr>
              <w:instrText xml:space="preserve"> PAGEREF _Toc221626097 \h </w:instrText>
            </w:r>
            <w:r>
              <w:rPr>
                <w:noProof/>
              </w:rPr>
            </w:r>
            <w:r>
              <w:rPr>
                <w:noProof/>
              </w:rPr>
              <w:fldChar w:fldCharType="separate"/>
            </w:r>
            <w:r>
              <w:rPr>
                <w:noProof/>
              </w:rPr>
              <w:t>1</w:t>
            </w:r>
            <w:r>
              <w:rPr>
                <w:noProof/>
              </w:rPr>
              <w:fldChar w:fldCharType="end"/>
            </w:r>
          </w:hyperlink>
        </w:p>
        <w:p w14:paraId="5D5985CB" w14:textId="77777777" w:rsidR="00866E0B" w:rsidRDefault="00866E0B">
          <w:pPr>
            <w:pStyle w:val="TOC2"/>
            <w:tabs>
              <w:tab w:val="right" w:leader="dot" w:pos="9350"/>
            </w:tabs>
            <w:rPr>
              <w:noProof/>
            </w:rPr>
          </w:pPr>
          <w:hyperlink w:anchor="_Toc221626098" w:history="1">
            <w:r w:rsidRPr="008105B6">
              <w:rPr>
                <w:rStyle w:val="Hyperlink"/>
                <w:noProof/>
              </w:rPr>
              <w:t>2.1 Market Size &amp; Growth</w:t>
            </w:r>
            <w:r>
              <w:rPr>
                <w:noProof/>
              </w:rPr>
              <w:tab/>
            </w:r>
            <w:r>
              <w:rPr>
                <w:noProof/>
              </w:rPr>
              <w:fldChar w:fldCharType="begin"/>
            </w:r>
            <w:r>
              <w:rPr>
                <w:noProof/>
              </w:rPr>
              <w:instrText xml:space="preserve"> PAGEREF _Toc221626098 \h </w:instrText>
            </w:r>
            <w:r>
              <w:rPr>
                <w:noProof/>
              </w:rPr>
            </w:r>
            <w:r>
              <w:rPr>
                <w:noProof/>
              </w:rPr>
              <w:fldChar w:fldCharType="separate"/>
            </w:r>
            <w:r>
              <w:rPr>
                <w:noProof/>
              </w:rPr>
              <w:t>1</w:t>
            </w:r>
            <w:r>
              <w:rPr>
                <w:noProof/>
              </w:rPr>
              <w:fldChar w:fldCharType="end"/>
            </w:r>
          </w:hyperlink>
        </w:p>
        <w:p w14:paraId="4E6EB741" w14:textId="77777777" w:rsidR="00866E0B" w:rsidRDefault="00866E0B">
          <w:pPr>
            <w:pStyle w:val="TOC2"/>
            <w:tabs>
              <w:tab w:val="right" w:leader="dot" w:pos="9350"/>
            </w:tabs>
            <w:rPr>
              <w:noProof/>
            </w:rPr>
          </w:pPr>
          <w:hyperlink w:anchor="_Toc221626099" w:history="1">
            <w:r w:rsidRPr="008105B6">
              <w:rPr>
                <w:rStyle w:val="Hyperlink"/>
                <w:noProof/>
              </w:rPr>
              <w:t>2.2 NBFC Regulatory Layers (Scale-Based Regulation)</w:t>
            </w:r>
            <w:r>
              <w:rPr>
                <w:noProof/>
              </w:rPr>
              <w:tab/>
            </w:r>
            <w:r>
              <w:rPr>
                <w:noProof/>
              </w:rPr>
              <w:fldChar w:fldCharType="begin"/>
            </w:r>
            <w:r>
              <w:rPr>
                <w:noProof/>
              </w:rPr>
              <w:instrText xml:space="preserve"> PAGEREF _Toc221626099 \h </w:instrText>
            </w:r>
            <w:r>
              <w:rPr>
                <w:noProof/>
              </w:rPr>
            </w:r>
            <w:r>
              <w:rPr>
                <w:noProof/>
              </w:rPr>
              <w:fldChar w:fldCharType="separate"/>
            </w:r>
            <w:r>
              <w:rPr>
                <w:noProof/>
              </w:rPr>
              <w:t>1</w:t>
            </w:r>
            <w:r>
              <w:rPr>
                <w:noProof/>
              </w:rPr>
              <w:fldChar w:fldCharType="end"/>
            </w:r>
          </w:hyperlink>
        </w:p>
        <w:p w14:paraId="087911C8" w14:textId="77777777" w:rsidR="00866E0B" w:rsidRDefault="00866E0B">
          <w:pPr>
            <w:pStyle w:val="TOC2"/>
            <w:tabs>
              <w:tab w:val="right" w:leader="dot" w:pos="9350"/>
            </w:tabs>
            <w:rPr>
              <w:noProof/>
            </w:rPr>
          </w:pPr>
          <w:hyperlink w:anchor="_Toc221626100" w:history="1">
            <w:r w:rsidRPr="008105B6">
              <w:rPr>
                <w:rStyle w:val="Hyperlink"/>
                <w:noProof/>
              </w:rPr>
              <w:t>2.3 Key NBFC Segments by Activity</w:t>
            </w:r>
            <w:r>
              <w:rPr>
                <w:noProof/>
              </w:rPr>
              <w:tab/>
            </w:r>
            <w:r>
              <w:rPr>
                <w:noProof/>
              </w:rPr>
              <w:fldChar w:fldCharType="begin"/>
            </w:r>
            <w:r>
              <w:rPr>
                <w:noProof/>
              </w:rPr>
              <w:instrText xml:space="preserve"> PAGEREF _Toc221626100 \h </w:instrText>
            </w:r>
            <w:r>
              <w:rPr>
                <w:noProof/>
              </w:rPr>
            </w:r>
            <w:r>
              <w:rPr>
                <w:noProof/>
              </w:rPr>
              <w:fldChar w:fldCharType="separate"/>
            </w:r>
            <w:r>
              <w:rPr>
                <w:noProof/>
              </w:rPr>
              <w:t>1</w:t>
            </w:r>
            <w:r>
              <w:rPr>
                <w:noProof/>
              </w:rPr>
              <w:fldChar w:fldCharType="end"/>
            </w:r>
          </w:hyperlink>
        </w:p>
        <w:p w14:paraId="27ABDEFA" w14:textId="77777777" w:rsidR="00866E0B" w:rsidRDefault="00866E0B">
          <w:pPr>
            <w:pStyle w:val="TOC1"/>
            <w:tabs>
              <w:tab w:val="right" w:leader="dot" w:pos="9350"/>
            </w:tabs>
            <w:rPr>
              <w:noProof/>
            </w:rPr>
          </w:pPr>
          <w:hyperlink w:anchor="_Toc221626101" w:history="1">
            <w:r w:rsidRPr="008105B6">
              <w:rPr>
                <w:rStyle w:val="Hyperlink"/>
                <w:noProof/>
              </w:rPr>
              <w:t>3. Understanding the RCU Function</w:t>
            </w:r>
            <w:r>
              <w:rPr>
                <w:noProof/>
              </w:rPr>
              <w:tab/>
            </w:r>
            <w:r>
              <w:rPr>
                <w:noProof/>
              </w:rPr>
              <w:fldChar w:fldCharType="begin"/>
            </w:r>
            <w:r>
              <w:rPr>
                <w:noProof/>
              </w:rPr>
              <w:instrText xml:space="preserve"> PAGEREF _Toc221626101 \h </w:instrText>
            </w:r>
            <w:r>
              <w:rPr>
                <w:noProof/>
              </w:rPr>
            </w:r>
            <w:r>
              <w:rPr>
                <w:noProof/>
              </w:rPr>
              <w:fldChar w:fldCharType="separate"/>
            </w:r>
            <w:r>
              <w:rPr>
                <w:noProof/>
              </w:rPr>
              <w:t>1</w:t>
            </w:r>
            <w:r>
              <w:rPr>
                <w:noProof/>
              </w:rPr>
              <w:fldChar w:fldCharType="end"/>
            </w:r>
          </w:hyperlink>
        </w:p>
        <w:p w14:paraId="0795F4F1" w14:textId="77777777" w:rsidR="00866E0B" w:rsidRDefault="00866E0B">
          <w:pPr>
            <w:pStyle w:val="TOC2"/>
            <w:tabs>
              <w:tab w:val="right" w:leader="dot" w:pos="9350"/>
            </w:tabs>
            <w:rPr>
              <w:noProof/>
            </w:rPr>
          </w:pPr>
          <w:hyperlink w:anchor="_Toc221626102" w:history="1">
            <w:r w:rsidRPr="008105B6">
              <w:rPr>
                <w:rStyle w:val="Hyperlink"/>
                <w:noProof/>
              </w:rPr>
              <w:t>3.1 What is a Risk Containment Unit?</w:t>
            </w:r>
            <w:r>
              <w:rPr>
                <w:noProof/>
              </w:rPr>
              <w:tab/>
            </w:r>
            <w:r>
              <w:rPr>
                <w:noProof/>
              </w:rPr>
              <w:fldChar w:fldCharType="begin"/>
            </w:r>
            <w:r>
              <w:rPr>
                <w:noProof/>
              </w:rPr>
              <w:instrText xml:space="preserve"> PAGEREF _Toc221626102 \h </w:instrText>
            </w:r>
            <w:r>
              <w:rPr>
                <w:noProof/>
              </w:rPr>
            </w:r>
            <w:r>
              <w:rPr>
                <w:noProof/>
              </w:rPr>
              <w:fldChar w:fldCharType="separate"/>
            </w:r>
            <w:r>
              <w:rPr>
                <w:noProof/>
              </w:rPr>
              <w:t>1</w:t>
            </w:r>
            <w:r>
              <w:rPr>
                <w:noProof/>
              </w:rPr>
              <w:fldChar w:fldCharType="end"/>
            </w:r>
          </w:hyperlink>
        </w:p>
        <w:p w14:paraId="1EE2660B" w14:textId="77777777" w:rsidR="00866E0B" w:rsidRDefault="00866E0B">
          <w:pPr>
            <w:pStyle w:val="TOC2"/>
            <w:tabs>
              <w:tab w:val="right" w:leader="dot" w:pos="9350"/>
            </w:tabs>
            <w:rPr>
              <w:noProof/>
            </w:rPr>
          </w:pPr>
          <w:hyperlink w:anchor="_Toc221626103" w:history="1">
            <w:r w:rsidRPr="008105B6">
              <w:rPr>
                <w:rStyle w:val="Hyperlink"/>
                <w:noProof/>
              </w:rPr>
              <w:t>3.2 Core RCU Activities</w:t>
            </w:r>
            <w:r>
              <w:rPr>
                <w:noProof/>
              </w:rPr>
              <w:tab/>
            </w:r>
            <w:r>
              <w:rPr>
                <w:noProof/>
              </w:rPr>
              <w:fldChar w:fldCharType="begin"/>
            </w:r>
            <w:r>
              <w:rPr>
                <w:noProof/>
              </w:rPr>
              <w:instrText xml:space="preserve"> PAGEREF _Toc221626103 \h </w:instrText>
            </w:r>
            <w:r>
              <w:rPr>
                <w:noProof/>
              </w:rPr>
            </w:r>
            <w:r>
              <w:rPr>
                <w:noProof/>
              </w:rPr>
              <w:fldChar w:fldCharType="separate"/>
            </w:r>
            <w:r>
              <w:rPr>
                <w:noProof/>
              </w:rPr>
              <w:t>1</w:t>
            </w:r>
            <w:r>
              <w:rPr>
                <w:noProof/>
              </w:rPr>
              <w:fldChar w:fldCharType="end"/>
            </w:r>
          </w:hyperlink>
        </w:p>
        <w:p w14:paraId="6E717914" w14:textId="77777777" w:rsidR="00866E0B" w:rsidRDefault="00866E0B">
          <w:pPr>
            <w:pStyle w:val="TOC2"/>
            <w:tabs>
              <w:tab w:val="right" w:leader="dot" w:pos="9350"/>
            </w:tabs>
            <w:rPr>
              <w:noProof/>
            </w:rPr>
          </w:pPr>
          <w:hyperlink w:anchor="_Toc221626104" w:history="1">
            <w:r w:rsidRPr="008105B6">
              <w:rPr>
                <w:rStyle w:val="Hyperlink"/>
                <w:noProof/>
              </w:rPr>
              <w:t>3.3 Pain Points in Current RCU Operations</w:t>
            </w:r>
            <w:r>
              <w:rPr>
                <w:noProof/>
              </w:rPr>
              <w:tab/>
            </w:r>
            <w:r>
              <w:rPr>
                <w:noProof/>
              </w:rPr>
              <w:fldChar w:fldCharType="begin"/>
            </w:r>
            <w:r>
              <w:rPr>
                <w:noProof/>
              </w:rPr>
              <w:instrText xml:space="preserve"> PAGEREF _Toc221626104 \h </w:instrText>
            </w:r>
            <w:r>
              <w:rPr>
                <w:noProof/>
              </w:rPr>
            </w:r>
            <w:r>
              <w:rPr>
                <w:noProof/>
              </w:rPr>
              <w:fldChar w:fldCharType="separate"/>
            </w:r>
            <w:r>
              <w:rPr>
                <w:noProof/>
              </w:rPr>
              <w:t>1</w:t>
            </w:r>
            <w:r>
              <w:rPr>
                <w:noProof/>
              </w:rPr>
              <w:fldChar w:fldCharType="end"/>
            </w:r>
          </w:hyperlink>
        </w:p>
        <w:p w14:paraId="123EE03E" w14:textId="77777777" w:rsidR="00866E0B" w:rsidRDefault="00866E0B">
          <w:pPr>
            <w:pStyle w:val="TOC1"/>
            <w:tabs>
              <w:tab w:val="right" w:leader="dot" w:pos="9350"/>
            </w:tabs>
            <w:rPr>
              <w:noProof/>
            </w:rPr>
          </w:pPr>
          <w:hyperlink w:anchor="_Toc221626105" w:history="1">
            <w:r w:rsidRPr="008105B6">
              <w:rPr>
                <w:rStyle w:val="Hyperlink"/>
                <w:noProof/>
              </w:rPr>
              <w:t>4. Regulatory Framework &amp; Compliance Drivers</w:t>
            </w:r>
            <w:r>
              <w:rPr>
                <w:noProof/>
              </w:rPr>
              <w:tab/>
            </w:r>
            <w:r>
              <w:rPr>
                <w:noProof/>
              </w:rPr>
              <w:fldChar w:fldCharType="begin"/>
            </w:r>
            <w:r>
              <w:rPr>
                <w:noProof/>
              </w:rPr>
              <w:instrText xml:space="preserve"> PAGEREF _Toc221626105 \h </w:instrText>
            </w:r>
            <w:r>
              <w:rPr>
                <w:noProof/>
              </w:rPr>
            </w:r>
            <w:r>
              <w:rPr>
                <w:noProof/>
              </w:rPr>
              <w:fldChar w:fldCharType="separate"/>
            </w:r>
            <w:r>
              <w:rPr>
                <w:noProof/>
              </w:rPr>
              <w:t>1</w:t>
            </w:r>
            <w:r>
              <w:rPr>
                <w:noProof/>
              </w:rPr>
              <w:fldChar w:fldCharType="end"/>
            </w:r>
          </w:hyperlink>
        </w:p>
        <w:p w14:paraId="112D5443" w14:textId="77777777" w:rsidR="00866E0B" w:rsidRDefault="00866E0B">
          <w:pPr>
            <w:pStyle w:val="TOC2"/>
            <w:tabs>
              <w:tab w:val="right" w:leader="dot" w:pos="9350"/>
            </w:tabs>
            <w:rPr>
              <w:noProof/>
            </w:rPr>
          </w:pPr>
          <w:hyperlink w:anchor="_Toc221626106" w:history="1">
            <w:r w:rsidRPr="008105B6">
              <w:rPr>
                <w:rStyle w:val="Hyperlink"/>
                <w:noProof/>
              </w:rPr>
              <w:t>4.1 RBI Master Directions on Fraud Risk Management (July 2024)</w:t>
            </w:r>
            <w:r>
              <w:rPr>
                <w:noProof/>
              </w:rPr>
              <w:tab/>
            </w:r>
            <w:r>
              <w:rPr>
                <w:noProof/>
              </w:rPr>
              <w:fldChar w:fldCharType="begin"/>
            </w:r>
            <w:r>
              <w:rPr>
                <w:noProof/>
              </w:rPr>
              <w:instrText xml:space="preserve"> PAGEREF _Toc221626106 \h </w:instrText>
            </w:r>
            <w:r>
              <w:rPr>
                <w:noProof/>
              </w:rPr>
            </w:r>
            <w:r>
              <w:rPr>
                <w:noProof/>
              </w:rPr>
              <w:fldChar w:fldCharType="separate"/>
            </w:r>
            <w:r>
              <w:rPr>
                <w:noProof/>
              </w:rPr>
              <w:t>1</w:t>
            </w:r>
            <w:r>
              <w:rPr>
                <w:noProof/>
              </w:rPr>
              <w:fldChar w:fldCharType="end"/>
            </w:r>
          </w:hyperlink>
        </w:p>
        <w:p w14:paraId="1306487D" w14:textId="77777777" w:rsidR="00866E0B" w:rsidRDefault="00866E0B">
          <w:pPr>
            <w:pStyle w:val="TOC2"/>
            <w:tabs>
              <w:tab w:val="right" w:leader="dot" w:pos="9350"/>
            </w:tabs>
            <w:rPr>
              <w:noProof/>
            </w:rPr>
          </w:pPr>
          <w:hyperlink w:anchor="_Toc221626107" w:history="1">
            <w:r w:rsidRPr="008105B6">
              <w:rPr>
                <w:rStyle w:val="Hyperlink"/>
                <w:noProof/>
              </w:rPr>
              <w:t>4.2 Digital Lending Directions (2025)</w:t>
            </w:r>
            <w:r>
              <w:rPr>
                <w:noProof/>
              </w:rPr>
              <w:tab/>
            </w:r>
            <w:r>
              <w:rPr>
                <w:noProof/>
              </w:rPr>
              <w:fldChar w:fldCharType="begin"/>
            </w:r>
            <w:r>
              <w:rPr>
                <w:noProof/>
              </w:rPr>
              <w:instrText xml:space="preserve"> PAGEREF _Toc221626107 \h </w:instrText>
            </w:r>
            <w:r>
              <w:rPr>
                <w:noProof/>
              </w:rPr>
            </w:r>
            <w:r>
              <w:rPr>
                <w:noProof/>
              </w:rPr>
              <w:fldChar w:fldCharType="separate"/>
            </w:r>
            <w:r>
              <w:rPr>
                <w:noProof/>
              </w:rPr>
              <w:t>1</w:t>
            </w:r>
            <w:r>
              <w:rPr>
                <w:noProof/>
              </w:rPr>
              <w:fldChar w:fldCharType="end"/>
            </w:r>
          </w:hyperlink>
        </w:p>
        <w:p w14:paraId="73179516" w14:textId="77777777" w:rsidR="00866E0B" w:rsidRDefault="00866E0B">
          <w:pPr>
            <w:pStyle w:val="TOC2"/>
            <w:tabs>
              <w:tab w:val="right" w:leader="dot" w:pos="9350"/>
            </w:tabs>
            <w:rPr>
              <w:noProof/>
            </w:rPr>
          </w:pPr>
          <w:hyperlink w:anchor="_Toc221626108" w:history="1">
            <w:r w:rsidRPr="008105B6">
              <w:rPr>
                <w:rStyle w:val="Hyperlink"/>
                <w:noProof/>
              </w:rPr>
              <w:t>4.3 KYC/AML Compliance</w:t>
            </w:r>
            <w:r>
              <w:rPr>
                <w:noProof/>
              </w:rPr>
              <w:tab/>
            </w:r>
            <w:r>
              <w:rPr>
                <w:noProof/>
              </w:rPr>
              <w:fldChar w:fldCharType="begin"/>
            </w:r>
            <w:r>
              <w:rPr>
                <w:noProof/>
              </w:rPr>
              <w:instrText xml:space="preserve"> PAGEREF _Toc221626108 \h </w:instrText>
            </w:r>
            <w:r>
              <w:rPr>
                <w:noProof/>
              </w:rPr>
            </w:r>
            <w:r>
              <w:rPr>
                <w:noProof/>
              </w:rPr>
              <w:fldChar w:fldCharType="separate"/>
            </w:r>
            <w:r>
              <w:rPr>
                <w:noProof/>
              </w:rPr>
              <w:t>1</w:t>
            </w:r>
            <w:r>
              <w:rPr>
                <w:noProof/>
              </w:rPr>
              <w:fldChar w:fldCharType="end"/>
            </w:r>
          </w:hyperlink>
        </w:p>
        <w:p w14:paraId="6ABF573D" w14:textId="77777777" w:rsidR="00866E0B" w:rsidRDefault="00866E0B">
          <w:pPr>
            <w:pStyle w:val="TOC2"/>
            <w:tabs>
              <w:tab w:val="right" w:leader="dot" w:pos="9350"/>
            </w:tabs>
            <w:rPr>
              <w:noProof/>
            </w:rPr>
          </w:pPr>
          <w:hyperlink w:anchor="_Toc221626109" w:history="1">
            <w:r w:rsidRPr="008105B6">
              <w:rPr>
                <w:rStyle w:val="Hyperlink"/>
                <w:noProof/>
              </w:rPr>
              <w:t>4.4 DPDP Act Implications</w:t>
            </w:r>
            <w:r>
              <w:rPr>
                <w:noProof/>
              </w:rPr>
              <w:tab/>
            </w:r>
            <w:r>
              <w:rPr>
                <w:noProof/>
              </w:rPr>
              <w:fldChar w:fldCharType="begin"/>
            </w:r>
            <w:r>
              <w:rPr>
                <w:noProof/>
              </w:rPr>
              <w:instrText xml:space="preserve"> PAGEREF _Toc221626109 \h </w:instrText>
            </w:r>
            <w:r>
              <w:rPr>
                <w:noProof/>
              </w:rPr>
            </w:r>
            <w:r>
              <w:rPr>
                <w:noProof/>
              </w:rPr>
              <w:fldChar w:fldCharType="separate"/>
            </w:r>
            <w:r>
              <w:rPr>
                <w:noProof/>
              </w:rPr>
              <w:t>1</w:t>
            </w:r>
            <w:r>
              <w:rPr>
                <w:noProof/>
              </w:rPr>
              <w:fldChar w:fldCharType="end"/>
            </w:r>
          </w:hyperlink>
        </w:p>
        <w:p w14:paraId="4982AEE1" w14:textId="77777777" w:rsidR="00866E0B" w:rsidRDefault="00866E0B">
          <w:pPr>
            <w:pStyle w:val="TOC1"/>
            <w:tabs>
              <w:tab w:val="right" w:leader="dot" w:pos="9350"/>
            </w:tabs>
            <w:rPr>
              <w:noProof/>
            </w:rPr>
          </w:pPr>
          <w:hyperlink w:anchor="_Toc221626110" w:history="1">
            <w:r w:rsidRPr="008105B6">
              <w:rPr>
                <w:rStyle w:val="Hyperlink"/>
                <w:noProof/>
              </w:rPr>
              <w:t>5. Competitive Landscape</w:t>
            </w:r>
            <w:r>
              <w:rPr>
                <w:noProof/>
              </w:rPr>
              <w:tab/>
            </w:r>
            <w:r>
              <w:rPr>
                <w:noProof/>
              </w:rPr>
              <w:fldChar w:fldCharType="begin"/>
            </w:r>
            <w:r>
              <w:rPr>
                <w:noProof/>
              </w:rPr>
              <w:instrText xml:space="preserve"> PAGEREF _Toc221626110 \h </w:instrText>
            </w:r>
            <w:r>
              <w:rPr>
                <w:noProof/>
              </w:rPr>
            </w:r>
            <w:r>
              <w:rPr>
                <w:noProof/>
              </w:rPr>
              <w:fldChar w:fldCharType="separate"/>
            </w:r>
            <w:r>
              <w:rPr>
                <w:noProof/>
              </w:rPr>
              <w:t>1</w:t>
            </w:r>
            <w:r>
              <w:rPr>
                <w:noProof/>
              </w:rPr>
              <w:fldChar w:fldCharType="end"/>
            </w:r>
          </w:hyperlink>
        </w:p>
        <w:p w14:paraId="357BC0E9" w14:textId="77777777" w:rsidR="00866E0B" w:rsidRDefault="00866E0B">
          <w:pPr>
            <w:pStyle w:val="TOC2"/>
            <w:tabs>
              <w:tab w:val="right" w:leader="dot" w:pos="9350"/>
            </w:tabs>
            <w:rPr>
              <w:noProof/>
            </w:rPr>
          </w:pPr>
          <w:hyperlink w:anchor="_Toc221626111" w:history="1">
            <w:r w:rsidRPr="008105B6">
              <w:rPr>
                <w:rStyle w:val="Hyperlink"/>
                <w:noProof/>
              </w:rPr>
              <w:t>5.1 Market Segmentation of Competitors</w:t>
            </w:r>
            <w:r>
              <w:rPr>
                <w:noProof/>
              </w:rPr>
              <w:tab/>
            </w:r>
            <w:r>
              <w:rPr>
                <w:noProof/>
              </w:rPr>
              <w:fldChar w:fldCharType="begin"/>
            </w:r>
            <w:r>
              <w:rPr>
                <w:noProof/>
              </w:rPr>
              <w:instrText xml:space="preserve"> PAGEREF _Toc221626111 \h </w:instrText>
            </w:r>
            <w:r>
              <w:rPr>
                <w:noProof/>
              </w:rPr>
            </w:r>
            <w:r>
              <w:rPr>
                <w:noProof/>
              </w:rPr>
              <w:fldChar w:fldCharType="separate"/>
            </w:r>
            <w:r>
              <w:rPr>
                <w:noProof/>
              </w:rPr>
              <w:t>1</w:t>
            </w:r>
            <w:r>
              <w:rPr>
                <w:noProof/>
              </w:rPr>
              <w:fldChar w:fldCharType="end"/>
            </w:r>
          </w:hyperlink>
        </w:p>
        <w:p w14:paraId="67A475F2" w14:textId="77777777" w:rsidR="00866E0B" w:rsidRDefault="00866E0B">
          <w:pPr>
            <w:pStyle w:val="TOC2"/>
            <w:tabs>
              <w:tab w:val="right" w:leader="dot" w:pos="9350"/>
            </w:tabs>
            <w:rPr>
              <w:noProof/>
            </w:rPr>
          </w:pPr>
          <w:hyperlink w:anchor="_Toc221626112" w:history="1">
            <w:r w:rsidRPr="008105B6">
              <w:rPr>
                <w:rStyle w:val="Hyperlink"/>
                <w:noProof/>
              </w:rPr>
              <w:t>5.2 Detailed Competitor Profiles</w:t>
            </w:r>
            <w:r>
              <w:rPr>
                <w:noProof/>
              </w:rPr>
              <w:tab/>
            </w:r>
            <w:r>
              <w:rPr>
                <w:noProof/>
              </w:rPr>
              <w:fldChar w:fldCharType="begin"/>
            </w:r>
            <w:r>
              <w:rPr>
                <w:noProof/>
              </w:rPr>
              <w:instrText xml:space="preserve"> PAGEREF _Toc221626112 \h </w:instrText>
            </w:r>
            <w:r>
              <w:rPr>
                <w:noProof/>
              </w:rPr>
            </w:r>
            <w:r>
              <w:rPr>
                <w:noProof/>
              </w:rPr>
              <w:fldChar w:fldCharType="separate"/>
            </w:r>
            <w:r>
              <w:rPr>
                <w:noProof/>
              </w:rPr>
              <w:t>1</w:t>
            </w:r>
            <w:r>
              <w:rPr>
                <w:noProof/>
              </w:rPr>
              <w:fldChar w:fldCharType="end"/>
            </w:r>
          </w:hyperlink>
        </w:p>
        <w:p w14:paraId="2B4DB3CF" w14:textId="77777777" w:rsidR="00866E0B" w:rsidRDefault="00866E0B">
          <w:pPr>
            <w:pStyle w:val="TOC3"/>
            <w:tabs>
              <w:tab w:val="right" w:leader="dot" w:pos="9350"/>
            </w:tabs>
            <w:rPr>
              <w:noProof/>
            </w:rPr>
          </w:pPr>
          <w:hyperlink w:anchor="_Toc221626113" w:history="1">
            <w:r w:rsidRPr="008105B6">
              <w:rPr>
                <w:rStyle w:val="Hyperlink"/>
                <w:noProof/>
              </w:rPr>
              <w:t>5.2.1 Perfios (including Karza)</w:t>
            </w:r>
            <w:r>
              <w:rPr>
                <w:noProof/>
              </w:rPr>
              <w:tab/>
            </w:r>
            <w:r>
              <w:rPr>
                <w:noProof/>
              </w:rPr>
              <w:fldChar w:fldCharType="begin"/>
            </w:r>
            <w:r>
              <w:rPr>
                <w:noProof/>
              </w:rPr>
              <w:instrText xml:space="preserve"> PAGEREF _Toc221626113 \h </w:instrText>
            </w:r>
            <w:r>
              <w:rPr>
                <w:noProof/>
              </w:rPr>
            </w:r>
            <w:r>
              <w:rPr>
                <w:noProof/>
              </w:rPr>
              <w:fldChar w:fldCharType="separate"/>
            </w:r>
            <w:r>
              <w:rPr>
                <w:noProof/>
              </w:rPr>
              <w:t>1</w:t>
            </w:r>
            <w:r>
              <w:rPr>
                <w:noProof/>
              </w:rPr>
              <w:fldChar w:fldCharType="end"/>
            </w:r>
          </w:hyperlink>
        </w:p>
        <w:p w14:paraId="5EF7DF71" w14:textId="77777777" w:rsidR="00866E0B" w:rsidRDefault="00866E0B">
          <w:pPr>
            <w:pStyle w:val="TOC3"/>
            <w:tabs>
              <w:tab w:val="right" w:leader="dot" w:pos="9350"/>
            </w:tabs>
            <w:rPr>
              <w:noProof/>
            </w:rPr>
          </w:pPr>
          <w:hyperlink w:anchor="_Toc221626114" w:history="1">
            <w:r w:rsidRPr="008105B6">
              <w:rPr>
                <w:rStyle w:val="Hyperlink"/>
                <w:noProof/>
              </w:rPr>
              <w:t>5.2.2 Signzy</w:t>
            </w:r>
            <w:r>
              <w:rPr>
                <w:noProof/>
              </w:rPr>
              <w:tab/>
            </w:r>
            <w:r>
              <w:rPr>
                <w:noProof/>
              </w:rPr>
              <w:fldChar w:fldCharType="begin"/>
            </w:r>
            <w:r>
              <w:rPr>
                <w:noProof/>
              </w:rPr>
              <w:instrText xml:space="preserve"> PAGEREF _Toc221626114 \h </w:instrText>
            </w:r>
            <w:r>
              <w:rPr>
                <w:noProof/>
              </w:rPr>
            </w:r>
            <w:r>
              <w:rPr>
                <w:noProof/>
              </w:rPr>
              <w:fldChar w:fldCharType="separate"/>
            </w:r>
            <w:r>
              <w:rPr>
                <w:noProof/>
              </w:rPr>
              <w:t>1</w:t>
            </w:r>
            <w:r>
              <w:rPr>
                <w:noProof/>
              </w:rPr>
              <w:fldChar w:fldCharType="end"/>
            </w:r>
          </w:hyperlink>
        </w:p>
        <w:p w14:paraId="6643EAAF" w14:textId="77777777" w:rsidR="00866E0B" w:rsidRDefault="00866E0B">
          <w:pPr>
            <w:pStyle w:val="TOC3"/>
            <w:tabs>
              <w:tab w:val="right" w:leader="dot" w:pos="9350"/>
            </w:tabs>
            <w:rPr>
              <w:noProof/>
            </w:rPr>
          </w:pPr>
          <w:hyperlink w:anchor="_Toc221626115" w:history="1">
            <w:r w:rsidRPr="008105B6">
              <w:rPr>
                <w:rStyle w:val="Hyperlink"/>
                <w:noProof/>
              </w:rPr>
              <w:t>5.2.3 HyperVerge</w:t>
            </w:r>
            <w:r>
              <w:rPr>
                <w:noProof/>
              </w:rPr>
              <w:tab/>
            </w:r>
            <w:r>
              <w:rPr>
                <w:noProof/>
              </w:rPr>
              <w:fldChar w:fldCharType="begin"/>
            </w:r>
            <w:r>
              <w:rPr>
                <w:noProof/>
              </w:rPr>
              <w:instrText xml:space="preserve"> PAGEREF _Toc221626115 \h </w:instrText>
            </w:r>
            <w:r>
              <w:rPr>
                <w:noProof/>
              </w:rPr>
            </w:r>
            <w:r>
              <w:rPr>
                <w:noProof/>
              </w:rPr>
              <w:fldChar w:fldCharType="separate"/>
            </w:r>
            <w:r>
              <w:rPr>
                <w:noProof/>
              </w:rPr>
              <w:t>1</w:t>
            </w:r>
            <w:r>
              <w:rPr>
                <w:noProof/>
              </w:rPr>
              <w:fldChar w:fldCharType="end"/>
            </w:r>
          </w:hyperlink>
        </w:p>
        <w:p w14:paraId="568F2659" w14:textId="77777777" w:rsidR="00866E0B" w:rsidRDefault="00866E0B">
          <w:pPr>
            <w:pStyle w:val="TOC3"/>
            <w:tabs>
              <w:tab w:val="right" w:leader="dot" w:pos="9350"/>
            </w:tabs>
            <w:rPr>
              <w:noProof/>
            </w:rPr>
          </w:pPr>
          <w:hyperlink w:anchor="_Toc221626116" w:history="1">
            <w:r w:rsidRPr="008105B6">
              <w:rPr>
                <w:rStyle w:val="Hyperlink"/>
                <w:noProof/>
              </w:rPr>
              <w:t>5.2.4 AuthBridge</w:t>
            </w:r>
            <w:r>
              <w:rPr>
                <w:noProof/>
              </w:rPr>
              <w:tab/>
            </w:r>
            <w:r>
              <w:rPr>
                <w:noProof/>
              </w:rPr>
              <w:fldChar w:fldCharType="begin"/>
            </w:r>
            <w:r>
              <w:rPr>
                <w:noProof/>
              </w:rPr>
              <w:instrText xml:space="preserve"> PAGEREF _Toc221626116 \h </w:instrText>
            </w:r>
            <w:r>
              <w:rPr>
                <w:noProof/>
              </w:rPr>
            </w:r>
            <w:r>
              <w:rPr>
                <w:noProof/>
              </w:rPr>
              <w:fldChar w:fldCharType="separate"/>
            </w:r>
            <w:r>
              <w:rPr>
                <w:noProof/>
              </w:rPr>
              <w:t>1</w:t>
            </w:r>
            <w:r>
              <w:rPr>
                <w:noProof/>
              </w:rPr>
              <w:fldChar w:fldCharType="end"/>
            </w:r>
          </w:hyperlink>
        </w:p>
        <w:p w14:paraId="4CBEF7F4" w14:textId="77777777" w:rsidR="00866E0B" w:rsidRDefault="00866E0B">
          <w:pPr>
            <w:pStyle w:val="TOC3"/>
            <w:tabs>
              <w:tab w:val="right" w:leader="dot" w:pos="9350"/>
            </w:tabs>
            <w:rPr>
              <w:noProof/>
            </w:rPr>
          </w:pPr>
          <w:hyperlink w:anchor="_Toc221626117" w:history="1">
            <w:r w:rsidRPr="008105B6">
              <w:rPr>
                <w:rStyle w:val="Hyperlink"/>
                <w:noProof/>
              </w:rPr>
              <w:t>5.2.5 Jocata (GRID Platform)</w:t>
            </w:r>
            <w:r>
              <w:rPr>
                <w:noProof/>
              </w:rPr>
              <w:tab/>
            </w:r>
            <w:r>
              <w:rPr>
                <w:noProof/>
              </w:rPr>
              <w:fldChar w:fldCharType="begin"/>
            </w:r>
            <w:r>
              <w:rPr>
                <w:noProof/>
              </w:rPr>
              <w:instrText xml:space="preserve"> PAGEREF _Toc221626117 \h </w:instrText>
            </w:r>
            <w:r>
              <w:rPr>
                <w:noProof/>
              </w:rPr>
            </w:r>
            <w:r>
              <w:rPr>
                <w:noProof/>
              </w:rPr>
              <w:fldChar w:fldCharType="separate"/>
            </w:r>
            <w:r>
              <w:rPr>
                <w:noProof/>
              </w:rPr>
              <w:t>1</w:t>
            </w:r>
            <w:r>
              <w:rPr>
                <w:noProof/>
              </w:rPr>
              <w:fldChar w:fldCharType="end"/>
            </w:r>
          </w:hyperlink>
        </w:p>
        <w:p w14:paraId="553B1A64" w14:textId="77777777" w:rsidR="00866E0B" w:rsidRDefault="00866E0B">
          <w:pPr>
            <w:pStyle w:val="TOC3"/>
            <w:tabs>
              <w:tab w:val="right" w:leader="dot" w:pos="9350"/>
            </w:tabs>
            <w:rPr>
              <w:noProof/>
            </w:rPr>
          </w:pPr>
          <w:hyperlink w:anchor="_Toc221626118" w:history="1">
            <w:r w:rsidRPr="008105B6">
              <w:rPr>
                <w:rStyle w:val="Hyperlink"/>
                <w:noProof/>
              </w:rPr>
              <w:t>5.2.6 Field Investigation Agencies</w:t>
            </w:r>
            <w:r>
              <w:rPr>
                <w:noProof/>
              </w:rPr>
              <w:tab/>
            </w:r>
            <w:r>
              <w:rPr>
                <w:noProof/>
              </w:rPr>
              <w:fldChar w:fldCharType="begin"/>
            </w:r>
            <w:r>
              <w:rPr>
                <w:noProof/>
              </w:rPr>
              <w:instrText xml:space="preserve"> PAGEREF _Toc221626118 \h </w:instrText>
            </w:r>
            <w:r>
              <w:rPr>
                <w:noProof/>
              </w:rPr>
            </w:r>
            <w:r>
              <w:rPr>
                <w:noProof/>
              </w:rPr>
              <w:fldChar w:fldCharType="separate"/>
            </w:r>
            <w:r>
              <w:rPr>
                <w:noProof/>
              </w:rPr>
              <w:t>1</w:t>
            </w:r>
            <w:r>
              <w:rPr>
                <w:noProof/>
              </w:rPr>
              <w:fldChar w:fldCharType="end"/>
            </w:r>
          </w:hyperlink>
        </w:p>
        <w:p w14:paraId="5770447F" w14:textId="77777777" w:rsidR="00866E0B" w:rsidRDefault="00866E0B">
          <w:pPr>
            <w:pStyle w:val="TOC2"/>
            <w:tabs>
              <w:tab w:val="right" w:leader="dot" w:pos="9350"/>
            </w:tabs>
            <w:rPr>
              <w:noProof/>
            </w:rPr>
          </w:pPr>
          <w:hyperlink w:anchor="_Toc221626119" w:history="1">
            <w:r w:rsidRPr="008105B6">
              <w:rPr>
                <w:rStyle w:val="Hyperlink"/>
                <w:noProof/>
              </w:rPr>
              <w:t>5.3 Competitive White Space</w:t>
            </w:r>
            <w:r>
              <w:rPr>
                <w:noProof/>
              </w:rPr>
              <w:tab/>
            </w:r>
            <w:r>
              <w:rPr>
                <w:noProof/>
              </w:rPr>
              <w:fldChar w:fldCharType="begin"/>
            </w:r>
            <w:r>
              <w:rPr>
                <w:noProof/>
              </w:rPr>
              <w:instrText xml:space="preserve"> PAGEREF _Toc221626119 \h </w:instrText>
            </w:r>
            <w:r>
              <w:rPr>
                <w:noProof/>
              </w:rPr>
            </w:r>
            <w:r>
              <w:rPr>
                <w:noProof/>
              </w:rPr>
              <w:fldChar w:fldCharType="separate"/>
            </w:r>
            <w:r>
              <w:rPr>
                <w:noProof/>
              </w:rPr>
              <w:t>1</w:t>
            </w:r>
            <w:r>
              <w:rPr>
                <w:noProof/>
              </w:rPr>
              <w:fldChar w:fldCharType="end"/>
            </w:r>
          </w:hyperlink>
        </w:p>
        <w:p w14:paraId="090091A2" w14:textId="77777777" w:rsidR="00866E0B" w:rsidRDefault="00866E0B">
          <w:pPr>
            <w:pStyle w:val="TOC1"/>
            <w:tabs>
              <w:tab w:val="right" w:leader="dot" w:pos="9350"/>
            </w:tabs>
            <w:rPr>
              <w:noProof/>
            </w:rPr>
          </w:pPr>
          <w:hyperlink w:anchor="_Toc221626120" w:history="1">
            <w:r w:rsidRPr="008105B6">
              <w:rPr>
                <w:rStyle w:val="Hyperlink"/>
                <w:noProof/>
              </w:rPr>
              <w:t>6. Addressable Market Sizing</w:t>
            </w:r>
            <w:r>
              <w:rPr>
                <w:noProof/>
              </w:rPr>
              <w:tab/>
            </w:r>
            <w:r>
              <w:rPr>
                <w:noProof/>
              </w:rPr>
              <w:fldChar w:fldCharType="begin"/>
            </w:r>
            <w:r>
              <w:rPr>
                <w:noProof/>
              </w:rPr>
              <w:instrText xml:space="preserve"> PAGEREF _Toc221626120 \h </w:instrText>
            </w:r>
            <w:r>
              <w:rPr>
                <w:noProof/>
              </w:rPr>
            </w:r>
            <w:r>
              <w:rPr>
                <w:noProof/>
              </w:rPr>
              <w:fldChar w:fldCharType="separate"/>
            </w:r>
            <w:r>
              <w:rPr>
                <w:noProof/>
              </w:rPr>
              <w:t>1</w:t>
            </w:r>
            <w:r>
              <w:rPr>
                <w:noProof/>
              </w:rPr>
              <w:fldChar w:fldCharType="end"/>
            </w:r>
          </w:hyperlink>
        </w:p>
        <w:p w14:paraId="75DFB0FD" w14:textId="77777777" w:rsidR="00866E0B" w:rsidRDefault="00866E0B">
          <w:pPr>
            <w:pStyle w:val="TOC2"/>
            <w:tabs>
              <w:tab w:val="right" w:leader="dot" w:pos="9350"/>
            </w:tabs>
            <w:rPr>
              <w:noProof/>
            </w:rPr>
          </w:pPr>
          <w:hyperlink w:anchor="_Toc221626121" w:history="1">
            <w:r w:rsidRPr="008105B6">
              <w:rPr>
                <w:rStyle w:val="Hyperlink"/>
                <w:noProof/>
              </w:rPr>
              <w:t>6.1 TAM-SAM-SOM Framework</w:t>
            </w:r>
            <w:r>
              <w:rPr>
                <w:noProof/>
              </w:rPr>
              <w:tab/>
            </w:r>
            <w:r>
              <w:rPr>
                <w:noProof/>
              </w:rPr>
              <w:fldChar w:fldCharType="begin"/>
            </w:r>
            <w:r>
              <w:rPr>
                <w:noProof/>
              </w:rPr>
              <w:instrText xml:space="preserve"> PAGEREF _Toc221626121 \h </w:instrText>
            </w:r>
            <w:r>
              <w:rPr>
                <w:noProof/>
              </w:rPr>
            </w:r>
            <w:r>
              <w:rPr>
                <w:noProof/>
              </w:rPr>
              <w:fldChar w:fldCharType="separate"/>
            </w:r>
            <w:r>
              <w:rPr>
                <w:noProof/>
              </w:rPr>
              <w:t>1</w:t>
            </w:r>
            <w:r>
              <w:rPr>
                <w:noProof/>
              </w:rPr>
              <w:fldChar w:fldCharType="end"/>
            </w:r>
          </w:hyperlink>
        </w:p>
        <w:p w14:paraId="2195E282" w14:textId="77777777" w:rsidR="00866E0B" w:rsidRDefault="00866E0B">
          <w:pPr>
            <w:pStyle w:val="TOC2"/>
            <w:tabs>
              <w:tab w:val="right" w:leader="dot" w:pos="9350"/>
            </w:tabs>
            <w:rPr>
              <w:noProof/>
            </w:rPr>
          </w:pPr>
          <w:hyperlink w:anchor="_Toc221626122" w:history="1">
            <w:r w:rsidRPr="008105B6">
              <w:rPr>
                <w:rStyle w:val="Hyperlink"/>
                <w:noProof/>
              </w:rPr>
              <w:t>6.2 Pricing Benchmarks</w:t>
            </w:r>
            <w:r>
              <w:rPr>
                <w:noProof/>
              </w:rPr>
              <w:tab/>
            </w:r>
            <w:r>
              <w:rPr>
                <w:noProof/>
              </w:rPr>
              <w:fldChar w:fldCharType="begin"/>
            </w:r>
            <w:r>
              <w:rPr>
                <w:noProof/>
              </w:rPr>
              <w:instrText xml:space="preserve"> PAGEREF _Toc221626122 \h </w:instrText>
            </w:r>
            <w:r>
              <w:rPr>
                <w:noProof/>
              </w:rPr>
            </w:r>
            <w:r>
              <w:rPr>
                <w:noProof/>
              </w:rPr>
              <w:fldChar w:fldCharType="separate"/>
            </w:r>
            <w:r>
              <w:rPr>
                <w:noProof/>
              </w:rPr>
              <w:t>1</w:t>
            </w:r>
            <w:r>
              <w:rPr>
                <w:noProof/>
              </w:rPr>
              <w:fldChar w:fldCharType="end"/>
            </w:r>
          </w:hyperlink>
        </w:p>
        <w:p w14:paraId="0E1F4DCD" w14:textId="77777777" w:rsidR="00866E0B" w:rsidRDefault="00866E0B">
          <w:pPr>
            <w:pStyle w:val="TOC1"/>
            <w:tabs>
              <w:tab w:val="right" w:leader="dot" w:pos="9350"/>
            </w:tabs>
            <w:rPr>
              <w:noProof/>
            </w:rPr>
          </w:pPr>
          <w:hyperlink w:anchor="_Toc221626123" w:history="1">
            <w:r w:rsidRPr="008105B6">
              <w:rPr>
                <w:rStyle w:val="Hyperlink"/>
                <w:noProof/>
              </w:rPr>
              <w:t>7. Technology Landscape &amp; Platform Architecture</w:t>
            </w:r>
            <w:r>
              <w:rPr>
                <w:noProof/>
              </w:rPr>
              <w:tab/>
            </w:r>
            <w:r>
              <w:rPr>
                <w:noProof/>
              </w:rPr>
              <w:fldChar w:fldCharType="begin"/>
            </w:r>
            <w:r>
              <w:rPr>
                <w:noProof/>
              </w:rPr>
              <w:instrText xml:space="preserve"> PAGEREF _Toc221626123 \h </w:instrText>
            </w:r>
            <w:r>
              <w:rPr>
                <w:noProof/>
              </w:rPr>
            </w:r>
            <w:r>
              <w:rPr>
                <w:noProof/>
              </w:rPr>
              <w:fldChar w:fldCharType="separate"/>
            </w:r>
            <w:r>
              <w:rPr>
                <w:noProof/>
              </w:rPr>
              <w:t>1</w:t>
            </w:r>
            <w:r>
              <w:rPr>
                <w:noProof/>
              </w:rPr>
              <w:fldChar w:fldCharType="end"/>
            </w:r>
          </w:hyperlink>
        </w:p>
        <w:p w14:paraId="61F86A44" w14:textId="77777777" w:rsidR="00866E0B" w:rsidRDefault="00866E0B">
          <w:pPr>
            <w:pStyle w:val="TOC2"/>
            <w:tabs>
              <w:tab w:val="right" w:leader="dot" w:pos="9350"/>
            </w:tabs>
            <w:rPr>
              <w:noProof/>
            </w:rPr>
          </w:pPr>
          <w:hyperlink w:anchor="_Toc221626124" w:history="1">
            <w:r w:rsidRPr="008105B6">
              <w:rPr>
                <w:rStyle w:val="Hyperlink"/>
                <w:noProof/>
              </w:rPr>
              <w:t>7.1 Core Technology Components</w:t>
            </w:r>
            <w:r>
              <w:rPr>
                <w:noProof/>
              </w:rPr>
              <w:tab/>
            </w:r>
            <w:r>
              <w:rPr>
                <w:noProof/>
              </w:rPr>
              <w:fldChar w:fldCharType="begin"/>
            </w:r>
            <w:r>
              <w:rPr>
                <w:noProof/>
              </w:rPr>
              <w:instrText xml:space="preserve"> PAGEREF _Toc221626124 \h </w:instrText>
            </w:r>
            <w:r>
              <w:rPr>
                <w:noProof/>
              </w:rPr>
            </w:r>
            <w:r>
              <w:rPr>
                <w:noProof/>
              </w:rPr>
              <w:fldChar w:fldCharType="separate"/>
            </w:r>
            <w:r>
              <w:rPr>
                <w:noProof/>
              </w:rPr>
              <w:t>1</w:t>
            </w:r>
            <w:r>
              <w:rPr>
                <w:noProof/>
              </w:rPr>
              <w:fldChar w:fldCharType="end"/>
            </w:r>
          </w:hyperlink>
        </w:p>
        <w:p w14:paraId="1211A6C5" w14:textId="77777777" w:rsidR="00866E0B" w:rsidRDefault="00866E0B">
          <w:pPr>
            <w:pStyle w:val="TOC2"/>
            <w:tabs>
              <w:tab w:val="right" w:leader="dot" w:pos="9350"/>
            </w:tabs>
            <w:rPr>
              <w:noProof/>
            </w:rPr>
          </w:pPr>
          <w:hyperlink w:anchor="_Toc221626125" w:history="1">
            <w:r w:rsidRPr="008105B6">
              <w:rPr>
                <w:rStyle w:val="Hyperlink"/>
                <w:noProof/>
              </w:rPr>
              <w:t>7.2 Integration Architecture</w:t>
            </w:r>
            <w:r>
              <w:rPr>
                <w:noProof/>
              </w:rPr>
              <w:tab/>
            </w:r>
            <w:r>
              <w:rPr>
                <w:noProof/>
              </w:rPr>
              <w:fldChar w:fldCharType="begin"/>
            </w:r>
            <w:r>
              <w:rPr>
                <w:noProof/>
              </w:rPr>
              <w:instrText xml:space="preserve"> PAGEREF _Toc221626125 \h </w:instrText>
            </w:r>
            <w:r>
              <w:rPr>
                <w:noProof/>
              </w:rPr>
            </w:r>
            <w:r>
              <w:rPr>
                <w:noProof/>
              </w:rPr>
              <w:fldChar w:fldCharType="separate"/>
            </w:r>
            <w:r>
              <w:rPr>
                <w:noProof/>
              </w:rPr>
              <w:t>1</w:t>
            </w:r>
            <w:r>
              <w:rPr>
                <w:noProof/>
              </w:rPr>
              <w:fldChar w:fldCharType="end"/>
            </w:r>
          </w:hyperlink>
        </w:p>
        <w:p w14:paraId="4A3794E7" w14:textId="77777777" w:rsidR="00866E0B" w:rsidRDefault="00866E0B">
          <w:pPr>
            <w:pStyle w:val="TOC2"/>
            <w:tabs>
              <w:tab w:val="right" w:leader="dot" w:pos="9350"/>
            </w:tabs>
            <w:rPr>
              <w:noProof/>
            </w:rPr>
          </w:pPr>
          <w:hyperlink w:anchor="_Toc221626126" w:history="1">
            <w:r w:rsidRPr="008105B6">
              <w:rPr>
                <w:rStyle w:val="Hyperlink"/>
                <w:noProof/>
              </w:rPr>
              <w:t>7.3 AI/ML Opportunity Areas</w:t>
            </w:r>
            <w:r>
              <w:rPr>
                <w:noProof/>
              </w:rPr>
              <w:tab/>
            </w:r>
            <w:r>
              <w:rPr>
                <w:noProof/>
              </w:rPr>
              <w:fldChar w:fldCharType="begin"/>
            </w:r>
            <w:r>
              <w:rPr>
                <w:noProof/>
              </w:rPr>
              <w:instrText xml:space="preserve"> PAGEREF _Toc221626126 \h </w:instrText>
            </w:r>
            <w:r>
              <w:rPr>
                <w:noProof/>
              </w:rPr>
            </w:r>
            <w:r>
              <w:rPr>
                <w:noProof/>
              </w:rPr>
              <w:fldChar w:fldCharType="separate"/>
            </w:r>
            <w:r>
              <w:rPr>
                <w:noProof/>
              </w:rPr>
              <w:t>1</w:t>
            </w:r>
            <w:r>
              <w:rPr>
                <w:noProof/>
              </w:rPr>
              <w:fldChar w:fldCharType="end"/>
            </w:r>
          </w:hyperlink>
        </w:p>
        <w:p w14:paraId="51584ABE" w14:textId="77777777" w:rsidR="00866E0B" w:rsidRDefault="00866E0B">
          <w:pPr>
            <w:pStyle w:val="TOC1"/>
            <w:tabs>
              <w:tab w:val="right" w:leader="dot" w:pos="9350"/>
            </w:tabs>
            <w:rPr>
              <w:noProof/>
            </w:rPr>
          </w:pPr>
          <w:hyperlink w:anchor="_Toc221626127" w:history="1">
            <w:r w:rsidRPr="008105B6">
              <w:rPr>
                <w:rStyle w:val="Hyperlink"/>
                <w:noProof/>
              </w:rPr>
              <w:t>8. Buyer Personas &amp; Decision-Making</w:t>
            </w:r>
            <w:r>
              <w:rPr>
                <w:noProof/>
              </w:rPr>
              <w:tab/>
            </w:r>
            <w:r>
              <w:rPr>
                <w:noProof/>
              </w:rPr>
              <w:fldChar w:fldCharType="begin"/>
            </w:r>
            <w:r>
              <w:rPr>
                <w:noProof/>
              </w:rPr>
              <w:instrText xml:space="preserve"> PAGEREF _Toc221626127 \h </w:instrText>
            </w:r>
            <w:r>
              <w:rPr>
                <w:noProof/>
              </w:rPr>
            </w:r>
            <w:r>
              <w:rPr>
                <w:noProof/>
              </w:rPr>
              <w:fldChar w:fldCharType="separate"/>
            </w:r>
            <w:r>
              <w:rPr>
                <w:noProof/>
              </w:rPr>
              <w:t>1</w:t>
            </w:r>
            <w:r>
              <w:rPr>
                <w:noProof/>
              </w:rPr>
              <w:fldChar w:fldCharType="end"/>
            </w:r>
          </w:hyperlink>
        </w:p>
        <w:p w14:paraId="43383949" w14:textId="77777777" w:rsidR="00866E0B" w:rsidRDefault="00866E0B">
          <w:pPr>
            <w:pStyle w:val="TOC2"/>
            <w:tabs>
              <w:tab w:val="right" w:leader="dot" w:pos="9350"/>
            </w:tabs>
            <w:rPr>
              <w:noProof/>
            </w:rPr>
          </w:pPr>
          <w:hyperlink w:anchor="_Toc221626128" w:history="1">
            <w:r w:rsidRPr="008105B6">
              <w:rPr>
                <w:rStyle w:val="Hyperlink"/>
                <w:noProof/>
              </w:rPr>
              <w:t>8.1 Primary Buyer Personas</w:t>
            </w:r>
            <w:r>
              <w:rPr>
                <w:noProof/>
              </w:rPr>
              <w:tab/>
            </w:r>
            <w:r>
              <w:rPr>
                <w:noProof/>
              </w:rPr>
              <w:fldChar w:fldCharType="begin"/>
            </w:r>
            <w:r>
              <w:rPr>
                <w:noProof/>
              </w:rPr>
              <w:instrText xml:space="preserve"> PAGEREF _Toc221626128 \h </w:instrText>
            </w:r>
            <w:r>
              <w:rPr>
                <w:noProof/>
              </w:rPr>
            </w:r>
            <w:r>
              <w:rPr>
                <w:noProof/>
              </w:rPr>
              <w:fldChar w:fldCharType="separate"/>
            </w:r>
            <w:r>
              <w:rPr>
                <w:noProof/>
              </w:rPr>
              <w:t>1</w:t>
            </w:r>
            <w:r>
              <w:rPr>
                <w:noProof/>
              </w:rPr>
              <w:fldChar w:fldCharType="end"/>
            </w:r>
          </w:hyperlink>
        </w:p>
        <w:p w14:paraId="5EFA6C53" w14:textId="77777777" w:rsidR="00866E0B" w:rsidRDefault="00866E0B">
          <w:pPr>
            <w:pStyle w:val="TOC2"/>
            <w:tabs>
              <w:tab w:val="right" w:leader="dot" w:pos="9350"/>
            </w:tabs>
            <w:rPr>
              <w:noProof/>
            </w:rPr>
          </w:pPr>
          <w:hyperlink w:anchor="_Toc221626129" w:history="1">
            <w:r w:rsidRPr="008105B6">
              <w:rPr>
                <w:rStyle w:val="Hyperlink"/>
                <w:noProof/>
              </w:rPr>
              <w:t>8.2 Buying Process</w:t>
            </w:r>
            <w:r>
              <w:rPr>
                <w:noProof/>
              </w:rPr>
              <w:tab/>
            </w:r>
            <w:r>
              <w:rPr>
                <w:noProof/>
              </w:rPr>
              <w:fldChar w:fldCharType="begin"/>
            </w:r>
            <w:r>
              <w:rPr>
                <w:noProof/>
              </w:rPr>
              <w:instrText xml:space="preserve"> PAGEREF _Toc221626129 \h </w:instrText>
            </w:r>
            <w:r>
              <w:rPr>
                <w:noProof/>
              </w:rPr>
            </w:r>
            <w:r>
              <w:rPr>
                <w:noProof/>
              </w:rPr>
              <w:fldChar w:fldCharType="separate"/>
            </w:r>
            <w:r>
              <w:rPr>
                <w:noProof/>
              </w:rPr>
              <w:t>1</w:t>
            </w:r>
            <w:r>
              <w:rPr>
                <w:noProof/>
              </w:rPr>
              <w:fldChar w:fldCharType="end"/>
            </w:r>
          </w:hyperlink>
        </w:p>
        <w:p w14:paraId="481A9EF1" w14:textId="77777777" w:rsidR="00866E0B" w:rsidRDefault="00866E0B">
          <w:pPr>
            <w:pStyle w:val="TOC1"/>
            <w:tabs>
              <w:tab w:val="right" w:leader="dot" w:pos="9350"/>
            </w:tabs>
            <w:rPr>
              <w:noProof/>
            </w:rPr>
          </w:pPr>
          <w:hyperlink w:anchor="_Toc221626130" w:history="1">
            <w:r w:rsidRPr="008105B6">
              <w:rPr>
                <w:rStyle w:val="Hyperlink"/>
                <w:noProof/>
              </w:rPr>
              <w:t>9. Go-to-Market Strategy</w:t>
            </w:r>
            <w:r>
              <w:rPr>
                <w:noProof/>
              </w:rPr>
              <w:tab/>
            </w:r>
            <w:r>
              <w:rPr>
                <w:noProof/>
              </w:rPr>
              <w:fldChar w:fldCharType="begin"/>
            </w:r>
            <w:r>
              <w:rPr>
                <w:noProof/>
              </w:rPr>
              <w:instrText xml:space="preserve"> PAGEREF _Toc221626130 \h </w:instrText>
            </w:r>
            <w:r>
              <w:rPr>
                <w:noProof/>
              </w:rPr>
            </w:r>
            <w:r>
              <w:rPr>
                <w:noProof/>
              </w:rPr>
              <w:fldChar w:fldCharType="separate"/>
            </w:r>
            <w:r>
              <w:rPr>
                <w:noProof/>
              </w:rPr>
              <w:t>1</w:t>
            </w:r>
            <w:r>
              <w:rPr>
                <w:noProof/>
              </w:rPr>
              <w:fldChar w:fldCharType="end"/>
            </w:r>
          </w:hyperlink>
        </w:p>
        <w:p w14:paraId="405067E1" w14:textId="77777777" w:rsidR="00866E0B" w:rsidRDefault="00866E0B">
          <w:pPr>
            <w:pStyle w:val="TOC2"/>
            <w:tabs>
              <w:tab w:val="right" w:leader="dot" w:pos="9350"/>
            </w:tabs>
            <w:rPr>
              <w:noProof/>
            </w:rPr>
          </w:pPr>
          <w:hyperlink w:anchor="_Toc221626131" w:history="1">
            <w:r w:rsidRPr="008105B6">
              <w:rPr>
                <w:rStyle w:val="Hyperlink"/>
                <w:noProof/>
              </w:rPr>
              <w:t>9.1 Positioning Statement</w:t>
            </w:r>
            <w:r>
              <w:rPr>
                <w:noProof/>
              </w:rPr>
              <w:tab/>
            </w:r>
            <w:r>
              <w:rPr>
                <w:noProof/>
              </w:rPr>
              <w:fldChar w:fldCharType="begin"/>
            </w:r>
            <w:r>
              <w:rPr>
                <w:noProof/>
              </w:rPr>
              <w:instrText xml:space="preserve"> PAGEREF _Toc221626131 \h </w:instrText>
            </w:r>
            <w:r>
              <w:rPr>
                <w:noProof/>
              </w:rPr>
            </w:r>
            <w:r>
              <w:rPr>
                <w:noProof/>
              </w:rPr>
              <w:fldChar w:fldCharType="separate"/>
            </w:r>
            <w:r>
              <w:rPr>
                <w:noProof/>
              </w:rPr>
              <w:t>1</w:t>
            </w:r>
            <w:r>
              <w:rPr>
                <w:noProof/>
              </w:rPr>
              <w:fldChar w:fldCharType="end"/>
            </w:r>
          </w:hyperlink>
        </w:p>
        <w:p w14:paraId="67AE04E4" w14:textId="77777777" w:rsidR="00866E0B" w:rsidRDefault="00866E0B">
          <w:pPr>
            <w:pStyle w:val="TOC2"/>
            <w:tabs>
              <w:tab w:val="right" w:leader="dot" w:pos="9350"/>
            </w:tabs>
            <w:rPr>
              <w:noProof/>
            </w:rPr>
          </w:pPr>
          <w:hyperlink w:anchor="_Toc221626132" w:history="1">
            <w:r w:rsidRPr="008105B6">
              <w:rPr>
                <w:rStyle w:val="Hyperlink"/>
                <w:noProof/>
              </w:rPr>
              <w:t>9.2 Target Segmentation &amp; Phased Approach</w:t>
            </w:r>
            <w:r>
              <w:rPr>
                <w:noProof/>
              </w:rPr>
              <w:tab/>
            </w:r>
            <w:r>
              <w:rPr>
                <w:noProof/>
              </w:rPr>
              <w:fldChar w:fldCharType="begin"/>
            </w:r>
            <w:r>
              <w:rPr>
                <w:noProof/>
              </w:rPr>
              <w:instrText xml:space="preserve"> PAGEREF _Toc221626132 \h </w:instrText>
            </w:r>
            <w:r>
              <w:rPr>
                <w:noProof/>
              </w:rPr>
            </w:r>
            <w:r>
              <w:rPr>
                <w:noProof/>
              </w:rPr>
              <w:fldChar w:fldCharType="separate"/>
            </w:r>
            <w:r>
              <w:rPr>
                <w:noProof/>
              </w:rPr>
              <w:t>1</w:t>
            </w:r>
            <w:r>
              <w:rPr>
                <w:noProof/>
              </w:rPr>
              <w:fldChar w:fldCharType="end"/>
            </w:r>
          </w:hyperlink>
        </w:p>
        <w:p w14:paraId="19FE9D16" w14:textId="77777777" w:rsidR="00866E0B" w:rsidRDefault="00866E0B">
          <w:pPr>
            <w:pStyle w:val="TOC2"/>
            <w:tabs>
              <w:tab w:val="right" w:leader="dot" w:pos="9350"/>
            </w:tabs>
            <w:rPr>
              <w:noProof/>
            </w:rPr>
          </w:pPr>
          <w:hyperlink w:anchor="_Toc221626133" w:history="1">
            <w:r w:rsidRPr="008105B6">
              <w:rPr>
                <w:rStyle w:val="Hyperlink"/>
                <w:noProof/>
              </w:rPr>
              <w:t>9.3 Distribution Channels</w:t>
            </w:r>
            <w:r>
              <w:rPr>
                <w:noProof/>
              </w:rPr>
              <w:tab/>
            </w:r>
            <w:r>
              <w:rPr>
                <w:noProof/>
              </w:rPr>
              <w:fldChar w:fldCharType="begin"/>
            </w:r>
            <w:r>
              <w:rPr>
                <w:noProof/>
              </w:rPr>
              <w:instrText xml:space="preserve"> PAGEREF _Toc221626133 \h </w:instrText>
            </w:r>
            <w:r>
              <w:rPr>
                <w:noProof/>
              </w:rPr>
            </w:r>
            <w:r>
              <w:rPr>
                <w:noProof/>
              </w:rPr>
              <w:fldChar w:fldCharType="separate"/>
            </w:r>
            <w:r>
              <w:rPr>
                <w:noProof/>
              </w:rPr>
              <w:t>1</w:t>
            </w:r>
            <w:r>
              <w:rPr>
                <w:noProof/>
              </w:rPr>
              <w:fldChar w:fldCharType="end"/>
            </w:r>
          </w:hyperlink>
        </w:p>
        <w:p w14:paraId="57DD0AF0" w14:textId="77777777" w:rsidR="00866E0B" w:rsidRDefault="00866E0B">
          <w:pPr>
            <w:pStyle w:val="TOC2"/>
            <w:tabs>
              <w:tab w:val="right" w:leader="dot" w:pos="9350"/>
            </w:tabs>
            <w:rPr>
              <w:noProof/>
            </w:rPr>
          </w:pPr>
          <w:hyperlink w:anchor="_Toc221626134" w:history="1">
            <w:r w:rsidRPr="008105B6">
              <w:rPr>
                <w:rStyle w:val="Hyperlink"/>
                <w:noProof/>
              </w:rPr>
              <w:t>9.4 Key Differentiators to Emphasize</w:t>
            </w:r>
            <w:r>
              <w:rPr>
                <w:noProof/>
              </w:rPr>
              <w:tab/>
            </w:r>
            <w:r>
              <w:rPr>
                <w:noProof/>
              </w:rPr>
              <w:fldChar w:fldCharType="begin"/>
            </w:r>
            <w:r>
              <w:rPr>
                <w:noProof/>
              </w:rPr>
              <w:instrText xml:space="preserve"> PAGEREF _Toc221626134 \h </w:instrText>
            </w:r>
            <w:r>
              <w:rPr>
                <w:noProof/>
              </w:rPr>
            </w:r>
            <w:r>
              <w:rPr>
                <w:noProof/>
              </w:rPr>
              <w:fldChar w:fldCharType="separate"/>
            </w:r>
            <w:r>
              <w:rPr>
                <w:noProof/>
              </w:rPr>
              <w:t>1</w:t>
            </w:r>
            <w:r>
              <w:rPr>
                <w:noProof/>
              </w:rPr>
              <w:fldChar w:fldCharType="end"/>
            </w:r>
          </w:hyperlink>
        </w:p>
        <w:p w14:paraId="55F990FF" w14:textId="77777777" w:rsidR="00866E0B" w:rsidRDefault="00866E0B">
          <w:pPr>
            <w:pStyle w:val="TOC1"/>
            <w:tabs>
              <w:tab w:val="right" w:leader="dot" w:pos="9350"/>
            </w:tabs>
            <w:rPr>
              <w:noProof/>
            </w:rPr>
          </w:pPr>
          <w:hyperlink w:anchor="_Toc221626135" w:history="1">
            <w:r w:rsidRPr="008105B6">
              <w:rPr>
                <w:rStyle w:val="Hyperlink"/>
                <w:noProof/>
              </w:rPr>
              <w:t>10. Key Risks &amp; Mitigation</w:t>
            </w:r>
            <w:r>
              <w:rPr>
                <w:noProof/>
              </w:rPr>
              <w:tab/>
            </w:r>
            <w:r>
              <w:rPr>
                <w:noProof/>
              </w:rPr>
              <w:fldChar w:fldCharType="begin"/>
            </w:r>
            <w:r>
              <w:rPr>
                <w:noProof/>
              </w:rPr>
              <w:instrText xml:space="preserve"> PAGEREF _Toc221626135 \h </w:instrText>
            </w:r>
            <w:r>
              <w:rPr>
                <w:noProof/>
              </w:rPr>
            </w:r>
            <w:r>
              <w:rPr>
                <w:noProof/>
              </w:rPr>
              <w:fldChar w:fldCharType="separate"/>
            </w:r>
            <w:r>
              <w:rPr>
                <w:noProof/>
              </w:rPr>
              <w:t>1</w:t>
            </w:r>
            <w:r>
              <w:rPr>
                <w:noProof/>
              </w:rPr>
              <w:fldChar w:fldCharType="end"/>
            </w:r>
          </w:hyperlink>
        </w:p>
        <w:p w14:paraId="623C717C" w14:textId="77777777" w:rsidR="00866E0B" w:rsidRDefault="00866E0B">
          <w:pPr>
            <w:pStyle w:val="TOC1"/>
            <w:tabs>
              <w:tab w:val="right" w:leader="dot" w:pos="9350"/>
            </w:tabs>
            <w:rPr>
              <w:noProof/>
            </w:rPr>
          </w:pPr>
          <w:hyperlink w:anchor="_Toc221626136" w:history="1">
            <w:r w:rsidRPr="008105B6">
              <w:rPr>
                <w:rStyle w:val="Hyperlink"/>
                <w:noProof/>
              </w:rPr>
              <w:t>11. Illustrative Financial Projections</w:t>
            </w:r>
            <w:r>
              <w:rPr>
                <w:noProof/>
              </w:rPr>
              <w:tab/>
            </w:r>
            <w:r>
              <w:rPr>
                <w:noProof/>
              </w:rPr>
              <w:fldChar w:fldCharType="begin"/>
            </w:r>
            <w:r>
              <w:rPr>
                <w:noProof/>
              </w:rPr>
              <w:instrText xml:space="preserve"> PAGEREF _Toc221626136 \h </w:instrText>
            </w:r>
            <w:r>
              <w:rPr>
                <w:noProof/>
              </w:rPr>
            </w:r>
            <w:r>
              <w:rPr>
                <w:noProof/>
              </w:rPr>
              <w:fldChar w:fldCharType="separate"/>
            </w:r>
            <w:r>
              <w:rPr>
                <w:noProof/>
              </w:rPr>
              <w:t>1</w:t>
            </w:r>
            <w:r>
              <w:rPr>
                <w:noProof/>
              </w:rPr>
              <w:fldChar w:fldCharType="end"/>
            </w:r>
          </w:hyperlink>
        </w:p>
        <w:p w14:paraId="43DA7CA3" w14:textId="77777777" w:rsidR="00866E0B" w:rsidRDefault="00866E0B">
          <w:pPr>
            <w:pStyle w:val="TOC1"/>
            <w:tabs>
              <w:tab w:val="right" w:leader="dot" w:pos="9350"/>
            </w:tabs>
            <w:rPr>
              <w:noProof/>
            </w:rPr>
          </w:pPr>
          <w:hyperlink w:anchor="_Toc221626137" w:history="1">
            <w:r w:rsidRPr="008105B6">
              <w:rPr>
                <w:rStyle w:val="Hyperlink"/>
                <w:noProof/>
              </w:rPr>
              <w:t>12. Strategic Recommendations</w:t>
            </w:r>
            <w:r>
              <w:rPr>
                <w:noProof/>
              </w:rPr>
              <w:tab/>
            </w:r>
            <w:r>
              <w:rPr>
                <w:noProof/>
              </w:rPr>
              <w:fldChar w:fldCharType="begin"/>
            </w:r>
            <w:r>
              <w:rPr>
                <w:noProof/>
              </w:rPr>
              <w:instrText xml:space="preserve"> PAGEREF _Toc221626137 \h </w:instrText>
            </w:r>
            <w:r>
              <w:rPr>
                <w:noProof/>
              </w:rPr>
            </w:r>
            <w:r>
              <w:rPr>
                <w:noProof/>
              </w:rPr>
              <w:fldChar w:fldCharType="separate"/>
            </w:r>
            <w:r>
              <w:rPr>
                <w:noProof/>
              </w:rPr>
              <w:t>1</w:t>
            </w:r>
            <w:r>
              <w:rPr>
                <w:noProof/>
              </w:rPr>
              <w:fldChar w:fldCharType="end"/>
            </w:r>
          </w:hyperlink>
        </w:p>
        <w:p w14:paraId="2FEC43D8" w14:textId="77777777" w:rsidR="00747EDF" w:rsidRDefault="00000000">
          <w:r>
            <w:fldChar w:fldCharType="end"/>
          </w:r>
        </w:p>
      </w:sdtContent>
    </w:sdt>
    <w:p w14:paraId="15F38C04" w14:textId="77777777" w:rsidR="00747EDF" w:rsidRDefault="00747EDF">
      <w:pPr>
        <w:sectPr w:rsidR="00747EDF">
          <w:pgSz w:w="12240" w:h="15840"/>
          <w:pgMar w:top="1440" w:right="1440" w:bottom="1440" w:left="1440" w:header="708" w:footer="708" w:gutter="0"/>
          <w:cols w:space="720"/>
          <w:docGrid w:linePitch="360"/>
        </w:sectPr>
      </w:pPr>
    </w:p>
    <w:p w14:paraId="3B4F2110" w14:textId="77777777" w:rsidR="00747EDF" w:rsidRDefault="00000000">
      <w:pPr>
        <w:pStyle w:val="Heading1"/>
      </w:pPr>
      <w:bookmarkStart w:id="1" w:name="_Toc221626096"/>
      <w:r>
        <w:lastRenderedPageBreak/>
        <w:t>1. Executive Summary</w:t>
      </w:r>
      <w:bookmarkEnd w:id="1"/>
    </w:p>
    <w:p w14:paraId="65B431B6" w14:textId="77777777" w:rsidR="00747EDF" w:rsidRDefault="00000000">
      <w:pPr>
        <w:spacing w:after="120" w:line="276" w:lineRule="auto"/>
      </w:pPr>
      <w:r>
        <w:t>This market research study examines the opportunity for building an RCU (Risk Containment Unit) Investigation Platform targeting India’s Non-Banking Financial Companies (NBFCs) and Financial Institutions (FIs). The study covers the overall market landscape, regulatory drivers, competitive environment, technology trends, buyer personas, and a recommended go-to-market strategy.</w:t>
      </w:r>
    </w:p>
    <w:p w14:paraId="4CE3F739" w14:textId="77777777" w:rsidR="00747EDF" w:rsidRDefault="00000000">
      <w:pPr>
        <w:spacing w:after="120" w:line="276" w:lineRule="auto"/>
      </w:pPr>
      <w:r>
        <w:t>India’s NBFC sector manages assets worth approximately ₹54 trillion (USD 670 billion), representing roughly 18.6% of total assets held by scheduled commercial banks. With approximately 9,300 NBFCs registered with the RBI as of mid-2024, and NBFC credit growing at 16–18% CAGR, the demand for robust fraud prevention, document verification, and risk containment is at an all-time high.</w:t>
      </w:r>
    </w:p>
    <w:p w14:paraId="609012F5" w14:textId="77777777" w:rsidR="00747EDF" w:rsidRDefault="00000000">
      <w:pPr>
        <w:spacing w:after="120" w:line="276" w:lineRule="auto"/>
      </w:pPr>
      <w:r>
        <w:t>The global fraud detection and prevention market was valued at USD 52.82 billion in 2024 and is projected to reach USD 246.16 billion by 2032 (CAGR 21.2%). The financial fraud detection software sub-segment alone is expected to grow from USD 13 billion to USD 50.3 billion by 2032 (CAGR 14.8%), with the BFSI vertical commanding the largest market share. Asia-Pacific, led by India and China, is the fastest-growing region.</w:t>
      </w:r>
    </w:p>
    <w:p w14:paraId="12342543" w14:textId="77777777" w:rsidR="00747EDF" w:rsidRDefault="00000000">
      <w:pPr>
        <w:spacing w:after="120" w:line="276" w:lineRule="auto"/>
      </w:pPr>
      <w:r>
        <w:t>A dedicated RCU investigation platform that integrates document verification, field investigation management, fraud analytics, and regulatory reporting is uniquely positioned to capture significant market share in this expanding ecosystem.</w:t>
      </w:r>
    </w:p>
    <w:p w14:paraId="75863029" w14:textId="77777777" w:rsidR="00747EDF" w:rsidRDefault="00000000">
      <w:pPr>
        <w:pStyle w:val="Heading1"/>
      </w:pPr>
      <w:bookmarkStart w:id="2" w:name="_Toc221626097"/>
      <w:r>
        <w:t>2. India NBFC &amp; FI Market Overview</w:t>
      </w:r>
      <w:bookmarkEnd w:id="2"/>
    </w:p>
    <w:p w14:paraId="37F29745" w14:textId="77777777" w:rsidR="00747EDF" w:rsidRDefault="00000000">
      <w:pPr>
        <w:pStyle w:val="Heading2"/>
      </w:pPr>
      <w:bookmarkStart w:id="3" w:name="_Toc221626098"/>
      <w:r>
        <w:t>2.1 Market Size &amp; Growth</w:t>
      </w:r>
      <w:bookmarkEnd w:id="3"/>
    </w:p>
    <w:p w14:paraId="70A20E00" w14:textId="77777777" w:rsidR="00747EDF" w:rsidRDefault="00000000">
      <w:pPr>
        <w:spacing w:after="120" w:line="276" w:lineRule="auto"/>
      </w:pPr>
      <w:r>
        <w:t>The Indian NBFC sector has grown significantly over the past decade, both in terms of asset size and product diversification. Key market parameters include: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3000"/>
        <w:gridCol w:w="2860"/>
      </w:tblGrid>
      <w:tr w:rsidR="00747EDF" w14:paraId="0E8EC13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14001156" w14:textId="77777777" w:rsidR="00747EDF" w:rsidRDefault="00000000">
            <w:r>
              <w:rPr>
                <w:b/>
                <w:bCs/>
                <w:color w:val="FFFFFF"/>
                <w:sz w:val="20"/>
                <w:szCs w:val="20"/>
              </w:rPr>
              <w:t>Parameter</w:t>
            </w:r>
          </w:p>
        </w:tc>
        <w:tc>
          <w:tcPr>
            <w:tcW w:w="30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61A5C31E" w14:textId="77777777" w:rsidR="00747EDF" w:rsidRDefault="00000000">
            <w:r>
              <w:rPr>
                <w:b/>
                <w:bCs/>
                <w:color w:val="FFFFFF"/>
                <w:sz w:val="20"/>
                <w:szCs w:val="20"/>
              </w:rPr>
              <w:t>Value</w:t>
            </w:r>
          </w:p>
        </w:tc>
        <w:tc>
          <w:tcPr>
            <w:tcW w:w="28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2F3B3C8D" w14:textId="77777777" w:rsidR="00747EDF" w:rsidRDefault="00000000">
            <w:r>
              <w:rPr>
                <w:b/>
                <w:bCs/>
                <w:color w:val="FFFFFF"/>
                <w:sz w:val="20"/>
                <w:szCs w:val="20"/>
              </w:rPr>
              <w:t>Source/Period</w:t>
            </w:r>
          </w:p>
        </w:tc>
      </w:tr>
      <w:tr w:rsidR="00747EDF" w14:paraId="59FAA3F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974C93" w14:textId="77777777" w:rsidR="00747EDF" w:rsidRDefault="00000000">
            <w:r>
              <w:rPr>
                <w:sz w:val="20"/>
                <w:szCs w:val="20"/>
              </w:rPr>
              <w:t>Total NBFC Assets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6164F6" w14:textId="77777777" w:rsidR="00747EDF" w:rsidRDefault="00000000">
            <w:r>
              <w:rPr>
                <w:sz w:val="20"/>
                <w:szCs w:val="20"/>
              </w:rPr>
              <w:t>₹54 Trillion (~USD 670B)</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6B2F18" w14:textId="77777777" w:rsidR="00747EDF" w:rsidRDefault="00000000">
            <w:r>
              <w:rPr>
                <w:sz w:val="20"/>
                <w:szCs w:val="20"/>
              </w:rPr>
              <w:t>RBI Financial Stability Report, 2024</w:t>
            </w:r>
          </w:p>
        </w:tc>
      </w:tr>
      <w:tr w:rsidR="00747EDF" w14:paraId="4959C17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F719C30" w14:textId="77777777" w:rsidR="00747EDF" w:rsidRDefault="00000000">
            <w:r>
              <w:rPr>
                <w:sz w:val="20"/>
                <w:szCs w:val="20"/>
              </w:rPr>
              <w:t>NBFC Share of Banking Assets</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481CCA2" w14:textId="77777777" w:rsidR="00747EDF" w:rsidRDefault="00000000">
            <w:r>
              <w:rPr>
                <w:sz w:val="20"/>
                <w:szCs w:val="20"/>
              </w:rPr>
              <w:t>18.6%</w:t>
            </w:r>
          </w:p>
        </w:tc>
        <w:tc>
          <w:tcPr>
            <w:tcW w:w="28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2942B9B" w14:textId="77777777" w:rsidR="00747EDF" w:rsidRDefault="00000000">
            <w:r>
              <w:rPr>
                <w:sz w:val="20"/>
                <w:szCs w:val="20"/>
              </w:rPr>
              <w:t>RBI, FY2024</w:t>
            </w:r>
          </w:p>
        </w:tc>
      </w:tr>
      <w:tr w:rsidR="00747EDF" w14:paraId="13648A3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5F91C7" w14:textId="77777777" w:rsidR="00747EDF" w:rsidRDefault="00000000">
            <w:r>
              <w:rPr>
                <w:sz w:val="20"/>
                <w:szCs w:val="20"/>
              </w:rPr>
              <w:t>Registered NBFCs with RBI</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6844D3" w14:textId="77777777" w:rsidR="00747EDF" w:rsidRDefault="00000000">
            <w:r>
              <w:rPr>
                <w:sz w:val="20"/>
                <w:szCs w:val="20"/>
              </w:rPr>
              <w:t>~9,306</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254212" w14:textId="77777777" w:rsidR="00747EDF" w:rsidRDefault="00000000">
            <w:r>
              <w:rPr>
                <w:sz w:val="20"/>
                <w:szCs w:val="20"/>
              </w:rPr>
              <w:t>RBI, June 2024</w:t>
            </w:r>
          </w:p>
        </w:tc>
      </w:tr>
      <w:tr w:rsidR="00747EDF" w14:paraId="4E21F2B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316A251" w14:textId="77777777" w:rsidR="00747EDF" w:rsidRDefault="00000000">
            <w:r>
              <w:rPr>
                <w:sz w:val="20"/>
                <w:szCs w:val="20"/>
              </w:rPr>
              <w:t>Listed NBFC Companies</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65DC475" w14:textId="77777777" w:rsidR="00747EDF" w:rsidRDefault="00000000">
            <w:r>
              <w:rPr>
                <w:sz w:val="20"/>
                <w:szCs w:val="20"/>
              </w:rPr>
              <w:t>314 (Market Cap: ₹22.9 Lakh Cr)</w:t>
            </w:r>
          </w:p>
        </w:tc>
        <w:tc>
          <w:tcPr>
            <w:tcW w:w="28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6469DD6" w14:textId="77777777" w:rsidR="00747EDF" w:rsidRDefault="00000000">
            <w:r>
              <w:rPr>
                <w:sz w:val="20"/>
                <w:szCs w:val="20"/>
              </w:rPr>
              <w:t>Feb 2026</w:t>
            </w:r>
          </w:p>
        </w:tc>
      </w:tr>
      <w:tr w:rsidR="00747EDF" w14:paraId="42DFE71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68ED0A" w14:textId="77777777" w:rsidR="00747EDF" w:rsidRDefault="00000000">
            <w:r>
              <w:rPr>
                <w:sz w:val="20"/>
                <w:szCs w:val="20"/>
              </w:rPr>
              <w:t>NBFC Credit Growth (FY25)</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5A3F98" w14:textId="77777777" w:rsidR="00747EDF" w:rsidRDefault="00000000">
            <w:r>
              <w:rPr>
                <w:sz w:val="20"/>
                <w:szCs w:val="20"/>
              </w:rPr>
              <w:t>20% YoY</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469571" w14:textId="77777777" w:rsidR="00747EDF" w:rsidRDefault="00000000">
            <w:r>
              <w:rPr>
                <w:sz w:val="20"/>
                <w:szCs w:val="20"/>
              </w:rPr>
              <w:t>BCG-Kotak Report, FY25</w:t>
            </w:r>
          </w:p>
        </w:tc>
      </w:tr>
      <w:tr w:rsidR="00747EDF" w14:paraId="697DDD2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2B2464A" w14:textId="77777777" w:rsidR="00747EDF" w:rsidRDefault="00000000">
            <w:r>
              <w:rPr>
                <w:sz w:val="20"/>
                <w:szCs w:val="20"/>
              </w:rPr>
              <w:t>Projected NBFC Credit CAGR</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C3F36F0" w14:textId="77777777" w:rsidR="00747EDF" w:rsidRDefault="00000000">
            <w:r>
              <w:rPr>
                <w:sz w:val="20"/>
                <w:szCs w:val="20"/>
              </w:rPr>
              <w:t>15–18% (FY24–FY27)</w:t>
            </w:r>
          </w:p>
        </w:tc>
        <w:tc>
          <w:tcPr>
            <w:tcW w:w="28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02B558E" w14:textId="77777777" w:rsidR="00747EDF" w:rsidRDefault="00000000">
            <w:r>
              <w:rPr>
                <w:sz w:val="20"/>
                <w:szCs w:val="20"/>
              </w:rPr>
              <w:t>CRISIL MI&amp;A</w:t>
            </w:r>
          </w:p>
        </w:tc>
      </w:tr>
      <w:tr w:rsidR="00747EDF" w14:paraId="510C064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9B418C" w14:textId="77777777" w:rsidR="00747EDF" w:rsidRDefault="00000000">
            <w:r>
              <w:rPr>
                <w:sz w:val="20"/>
                <w:szCs w:val="20"/>
              </w:rPr>
              <w:t>Digital Lending Market CAGR</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2E59CD" w14:textId="77777777" w:rsidR="00747EDF" w:rsidRDefault="00000000">
            <w:r>
              <w:rPr>
                <w:sz w:val="20"/>
                <w:szCs w:val="20"/>
              </w:rPr>
              <w:t>25–30%</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37BAF5" w14:textId="77777777" w:rsidR="00747EDF" w:rsidRDefault="00000000">
            <w:r>
              <w:rPr>
                <w:sz w:val="20"/>
                <w:szCs w:val="20"/>
              </w:rPr>
              <w:t>BCG/Industry Estimates</w:t>
            </w:r>
          </w:p>
        </w:tc>
      </w:tr>
      <w:tr w:rsidR="00747EDF" w14:paraId="56E1217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55A5B6A" w14:textId="77777777" w:rsidR="00747EDF" w:rsidRDefault="00000000">
            <w:r>
              <w:rPr>
                <w:sz w:val="20"/>
                <w:szCs w:val="20"/>
              </w:rPr>
              <w:lastRenderedPageBreak/>
              <w:t>NBFC Capital Requirement (FY25–27)</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671C821" w14:textId="77777777" w:rsidR="00747EDF" w:rsidRDefault="00000000">
            <w:r>
              <w:rPr>
                <w:sz w:val="20"/>
                <w:szCs w:val="20"/>
              </w:rPr>
              <w:t>₹10.2 Trillion</w:t>
            </w:r>
          </w:p>
        </w:tc>
        <w:tc>
          <w:tcPr>
            <w:tcW w:w="28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6174C90" w14:textId="77777777" w:rsidR="00747EDF" w:rsidRDefault="00000000">
            <w:r>
              <w:rPr>
                <w:sz w:val="20"/>
                <w:szCs w:val="20"/>
              </w:rPr>
              <w:t>CRISIL Estimates</w:t>
            </w:r>
          </w:p>
        </w:tc>
      </w:tr>
    </w:tbl>
    <w:p w14:paraId="15CD439F" w14:textId="77777777" w:rsidR="00747EDF" w:rsidRDefault="00747EDF">
      <w:pPr>
        <w:spacing w:after="200"/>
      </w:pPr>
    </w:p>
    <w:p w14:paraId="7EA7F47D" w14:textId="77777777" w:rsidR="00747EDF" w:rsidRDefault="00000000">
      <w:pPr>
        <w:pStyle w:val="Heading2"/>
      </w:pPr>
      <w:bookmarkStart w:id="4" w:name="_Toc221626099"/>
      <w:r>
        <w:t>2.2 NBFC Regulatory Layers (Scale-Based Regulation)</w:t>
      </w:r>
      <w:bookmarkEnd w:id="4"/>
    </w:p>
    <w:p w14:paraId="0C5B556D" w14:textId="77777777" w:rsidR="00747EDF" w:rsidRDefault="00000000">
      <w:pPr>
        <w:spacing w:after="120" w:line="276" w:lineRule="auto"/>
      </w:pPr>
      <w:r>
        <w:t>RBI’s Scale-Based Regulation (SBR) framework classifies NBFCs into four layers based on size, activity, and perceived risk. This layering directly affects compliance obligations and therefore the addressable market for an RCU platform: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80"/>
        <w:gridCol w:w="3680"/>
      </w:tblGrid>
      <w:tr w:rsidR="00747EDF" w14:paraId="725F6EE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26E8ED5F" w14:textId="77777777" w:rsidR="00747EDF" w:rsidRDefault="00000000">
            <w:r>
              <w:rPr>
                <w:b/>
                <w:bCs/>
                <w:color w:val="FFFFFF"/>
                <w:sz w:val="20"/>
                <w:szCs w:val="20"/>
              </w:rPr>
              <w:t>Layer</w:t>
            </w:r>
          </w:p>
        </w:tc>
        <w:tc>
          <w:tcPr>
            <w:tcW w:w="368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50E726E2" w14:textId="77777777" w:rsidR="00747EDF" w:rsidRDefault="00000000">
            <w:r>
              <w:rPr>
                <w:b/>
                <w:bCs/>
                <w:color w:val="FFFFFF"/>
                <w:sz w:val="20"/>
                <w:szCs w:val="20"/>
              </w:rPr>
              <w:t>Description</w:t>
            </w:r>
          </w:p>
        </w:tc>
        <w:tc>
          <w:tcPr>
            <w:tcW w:w="368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4ECB8FFB" w14:textId="77777777" w:rsidR="00747EDF" w:rsidRDefault="00000000">
            <w:r>
              <w:rPr>
                <w:b/>
                <w:bCs/>
                <w:color w:val="FFFFFF"/>
                <w:sz w:val="20"/>
                <w:szCs w:val="20"/>
              </w:rPr>
              <w:t>RCU Platform Relevance</w:t>
            </w:r>
          </w:p>
        </w:tc>
      </w:tr>
      <w:tr w:rsidR="00747EDF" w14:paraId="54BF607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2E1172" w14:textId="77777777" w:rsidR="00747EDF" w:rsidRDefault="00000000">
            <w:r>
              <w:rPr>
                <w:sz w:val="20"/>
                <w:szCs w:val="20"/>
              </w:rPr>
              <w:t>Top Layer</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601C8D" w14:textId="77777777" w:rsidR="00747EDF" w:rsidRDefault="00000000">
            <w:r>
              <w:rPr>
                <w:sz w:val="20"/>
                <w:szCs w:val="20"/>
              </w:rPr>
              <w:t>Systemically significant NBFCs (designated by RBI)</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343AC5" w14:textId="77777777" w:rsidR="00747EDF" w:rsidRDefault="00000000">
            <w:r>
              <w:rPr>
                <w:sz w:val="20"/>
                <w:szCs w:val="20"/>
              </w:rPr>
              <w:t>Highest compliance needs; large budgets; strategic accounts</w:t>
            </w:r>
          </w:p>
        </w:tc>
      </w:tr>
      <w:tr w:rsidR="00747EDF" w14:paraId="1E429B3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CE4D1AE" w14:textId="77777777" w:rsidR="00747EDF" w:rsidRDefault="00000000">
            <w:r>
              <w:rPr>
                <w:sz w:val="20"/>
                <w:szCs w:val="20"/>
              </w:rPr>
              <w:t>Upper Layer (NBFC-UL)</w:t>
            </w:r>
          </w:p>
        </w:tc>
        <w:tc>
          <w:tcPr>
            <w:tcW w:w="3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14CE43F" w14:textId="77777777" w:rsidR="00747EDF" w:rsidRDefault="00000000">
            <w:r>
              <w:rPr>
                <w:sz w:val="20"/>
                <w:szCs w:val="20"/>
              </w:rPr>
              <w:t>NBFCs with asset size ≥₹1,000 Cr or meeting specific criteria</w:t>
            </w:r>
          </w:p>
        </w:tc>
        <w:tc>
          <w:tcPr>
            <w:tcW w:w="3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DDCE4CD" w14:textId="77777777" w:rsidR="00747EDF" w:rsidRDefault="00000000">
            <w:r>
              <w:rPr>
                <w:sz w:val="20"/>
                <w:szCs w:val="20"/>
              </w:rPr>
              <w:t>Mandatory fraud risk management; high-priority targets</w:t>
            </w:r>
          </w:p>
        </w:tc>
      </w:tr>
      <w:tr w:rsidR="00747EDF" w14:paraId="448047B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494D0A" w14:textId="77777777" w:rsidR="00747EDF" w:rsidRDefault="00000000">
            <w:r>
              <w:rPr>
                <w:sz w:val="20"/>
                <w:szCs w:val="20"/>
              </w:rPr>
              <w:t>Middle Layer (NBFC-ML)</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1D8473" w14:textId="77777777" w:rsidR="00747EDF" w:rsidRDefault="00000000">
            <w:r>
              <w:rPr>
                <w:sz w:val="20"/>
                <w:szCs w:val="20"/>
              </w:rPr>
              <w:t>All deposit-taking NBFCs, and NDSIs with assets ≥₹500 Cr</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6F0785" w14:textId="77777777" w:rsidR="00747EDF" w:rsidRDefault="00000000">
            <w:r>
              <w:rPr>
                <w:sz w:val="20"/>
                <w:szCs w:val="20"/>
              </w:rPr>
              <w:t>Growing compliance burden; strong adoption potential</w:t>
            </w:r>
          </w:p>
        </w:tc>
      </w:tr>
      <w:tr w:rsidR="00747EDF" w14:paraId="716C92E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84B2AFE" w14:textId="77777777" w:rsidR="00747EDF" w:rsidRDefault="00000000">
            <w:r>
              <w:rPr>
                <w:sz w:val="20"/>
                <w:szCs w:val="20"/>
              </w:rPr>
              <w:t>Base Layer (NBFC-BL)</w:t>
            </w:r>
          </w:p>
        </w:tc>
        <w:tc>
          <w:tcPr>
            <w:tcW w:w="3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6BD1602" w14:textId="77777777" w:rsidR="00747EDF" w:rsidRDefault="00000000">
            <w:r>
              <w:rPr>
                <w:sz w:val="20"/>
                <w:szCs w:val="20"/>
              </w:rPr>
              <w:t>Remaining NBFCs with assets ≥₹500 Cr (under new FRM directions)</w:t>
            </w:r>
          </w:p>
        </w:tc>
        <w:tc>
          <w:tcPr>
            <w:tcW w:w="3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F022C5B" w14:textId="77777777" w:rsidR="00747EDF" w:rsidRDefault="00000000">
            <w:r>
              <w:rPr>
                <w:sz w:val="20"/>
                <w:szCs w:val="20"/>
              </w:rPr>
              <w:t>Cost-sensitive; need affordable SaaS solutions</w:t>
            </w:r>
          </w:p>
        </w:tc>
      </w:tr>
    </w:tbl>
    <w:p w14:paraId="6D4C5459" w14:textId="77777777" w:rsidR="00747EDF" w:rsidRDefault="00747EDF">
      <w:pPr>
        <w:spacing w:after="200"/>
      </w:pPr>
    </w:p>
    <w:p w14:paraId="244CCF99" w14:textId="77777777" w:rsidR="00747EDF" w:rsidRDefault="00000000">
      <w:pPr>
        <w:pStyle w:val="Heading2"/>
      </w:pPr>
      <w:bookmarkStart w:id="5" w:name="_Toc221626100"/>
      <w:r>
        <w:t>2.3 Key NBFC Segments by Activity</w:t>
      </w:r>
      <w:bookmarkEnd w:id="5"/>
    </w:p>
    <w:p w14:paraId="31C4DE66" w14:textId="77777777" w:rsidR="00747EDF" w:rsidRDefault="00000000">
      <w:pPr>
        <w:spacing w:after="120" w:line="276" w:lineRule="auto"/>
      </w:pPr>
      <w:r>
        <w:t>Different NBFC segments have varying RCU investigation needs. The following segments represent the primary addressable market:</w:t>
      </w:r>
    </w:p>
    <w:p w14:paraId="6894C346" w14:textId="77777777" w:rsidR="00747EDF" w:rsidRDefault="00000000">
      <w:pPr>
        <w:pStyle w:val="ListParagraph"/>
        <w:numPr>
          <w:ilvl w:val="0"/>
          <w:numId w:val="2"/>
        </w:numPr>
        <w:spacing w:after="80" w:line="276" w:lineRule="auto"/>
      </w:pPr>
      <w:r>
        <w:t>Investment &amp; Credit Companies (NBFC-ICC): The largest category, covering consumer loans, business loans, and gold loans. High volume of retail loan origination creates significant RCU demand.</w:t>
      </w:r>
    </w:p>
    <w:p w14:paraId="2E143490" w14:textId="77777777" w:rsidR="00747EDF" w:rsidRDefault="00000000">
      <w:pPr>
        <w:pStyle w:val="ListParagraph"/>
        <w:numPr>
          <w:ilvl w:val="0"/>
          <w:numId w:val="2"/>
        </w:numPr>
        <w:spacing w:after="80" w:line="276" w:lineRule="auto"/>
      </w:pPr>
      <w:r>
        <w:t>Housing Finance Companies (HFCs): Property document verification, title checks, and valuation fraud are major pain points. 9 HFCs in the BCG-tracked universe.</w:t>
      </w:r>
    </w:p>
    <w:p w14:paraId="583153E0" w14:textId="77777777" w:rsidR="00747EDF" w:rsidRDefault="00000000">
      <w:pPr>
        <w:pStyle w:val="ListParagraph"/>
        <w:numPr>
          <w:ilvl w:val="0"/>
          <w:numId w:val="2"/>
        </w:numPr>
        <w:spacing w:after="80" w:line="276" w:lineRule="auto"/>
      </w:pPr>
      <w:r>
        <w:t>Microfinance Institutions (NBFC-MFI): Growing regulatory scrutiny after NPAs crossed ₹1,163 crore in FY24 (up 85% from FY22). Need affordable field verification tools.</w:t>
      </w:r>
    </w:p>
    <w:p w14:paraId="776B90DD" w14:textId="77777777" w:rsidR="00747EDF" w:rsidRDefault="00000000">
      <w:pPr>
        <w:pStyle w:val="ListParagraph"/>
        <w:numPr>
          <w:ilvl w:val="0"/>
          <w:numId w:val="2"/>
        </w:numPr>
        <w:spacing w:after="80" w:line="276" w:lineRule="auto"/>
      </w:pPr>
      <w:r>
        <w:t>Vehicle Finance Companies: Used vehicle marketplace fraud, registration document tampering, and identity fraud are key concerns.</w:t>
      </w:r>
    </w:p>
    <w:p w14:paraId="74A15BFA" w14:textId="77777777" w:rsidR="00747EDF" w:rsidRDefault="00000000">
      <w:pPr>
        <w:pStyle w:val="ListParagraph"/>
        <w:numPr>
          <w:ilvl w:val="0"/>
          <w:numId w:val="2"/>
        </w:numPr>
        <w:spacing w:after="80" w:line="276" w:lineRule="auto"/>
      </w:pPr>
      <w:r>
        <w:t>Small Finance Banks (SFBs): Regulated like banks but often have NBFC-like operations in Tier-2/3 cities with higher fraud exposure.</w:t>
      </w:r>
    </w:p>
    <w:p w14:paraId="6D528306" w14:textId="77777777" w:rsidR="00747EDF" w:rsidRDefault="00747EDF">
      <w:pPr>
        <w:spacing w:after="200"/>
      </w:pPr>
    </w:p>
    <w:p w14:paraId="11796B1A" w14:textId="77777777" w:rsidR="00747EDF" w:rsidRDefault="00000000">
      <w:pPr>
        <w:pStyle w:val="Heading1"/>
      </w:pPr>
      <w:bookmarkStart w:id="6" w:name="_Toc221626101"/>
      <w:r>
        <w:t>3. Understanding the RCU Function</w:t>
      </w:r>
      <w:bookmarkEnd w:id="6"/>
    </w:p>
    <w:p w14:paraId="7A0E89E7" w14:textId="77777777" w:rsidR="00747EDF" w:rsidRDefault="00000000">
      <w:pPr>
        <w:pStyle w:val="Heading2"/>
      </w:pPr>
      <w:bookmarkStart w:id="7" w:name="_Toc221626102"/>
      <w:r>
        <w:t>3.1 What is a Risk Containment Unit?</w:t>
      </w:r>
      <w:bookmarkEnd w:id="7"/>
    </w:p>
    <w:p w14:paraId="1ACD4B5F" w14:textId="77777777" w:rsidR="00747EDF" w:rsidRDefault="00000000">
      <w:pPr>
        <w:spacing w:after="120" w:line="276" w:lineRule="auto"/>
      </w:pPr>
      <w:r>
        <w:lastRenderedPageBreak/>
        <w:t>A Risk Containment Unit (RCU) or Fraud Control Unit (FCU) is a specialized department within banks, NBFCs, and financial institutions responsible for the prevention, detection, and investigation of fraud, primarily in retail lending. The RCU function sits at the intersection of credit operations, compliance, and risk management.</w:t>
      </w:r>
    </w:p>
    <w:p w14:paraId="50D13714" w14:textId="77777777" w:rsidR="00747EDF" w:rsidRDefault="00000000">
      <w:pPr>
        <w:spacing w:after="120" w:line="276" w:lineRule="auto"/>
      </w:pPr>
      <w:r>
        <w:t>Every bank and most NBFCs of significant size maintain either an in-house RCU team or outsource this function to specialized agencies. From credit card applications to retail loan files, RCU teams perform sampling, screening, and detailed investigation of loan documentation.</w:t>
      </w:r>
    </w:p>
    <w:p w14:paraId="053AE39E" w14:textId="77777777" w:rsidR="00747EDF" w:rsidRDefault="00000000">
      <w:pPr>
        <w:pStyle w:val="Heading2"/>
      </w:pPr>
      <w:bookmarkStart w:id="8" w:name="_Toc221626103"/>
      <w:r>
        <w:t>3.2 Core RCU Activities</w:t>
      </w:r>
      <w:bookmarkEnd w:id="8"/>
    </w:p>
    <w:p w14:paraId="3F3AE6B6" w14:textId="77777777" w:rsidR="00747EDF" w:rsidRDefault="00000000">
      <w:pPr>
        <w:spacing w:after="120" w:line="276" w:lineRule="auto"/>
      </w:pPr>
      <w:r>
        <w:t>The RCU investigation workflow encompasses both pre-disbursement and post-disbursement checks:</w:t>
      </w:r>
    </w:p>
    <w:p w14:paraId="51B1A471" w14:textId="77777777" w:rsidR="00747EDF" w:rsidRDefault="00747EDF">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160"/>
        <w:gridCol w:w="3000"/>
      </w:tblGrid>
      <w:tr w:rsidR="00747EDF" w14:paraId="36B60ED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26FE521A" w14:textId="77777777" w:rsidR="00747EDF" w:rsidRDefault="00000000">
            <w:r>
              <w:rPr>
                <w:b/>
                <w:bCs/>
                <w:color w:val="FFFFFF"/>
                <w:sz w:val="20"/>
                <w:szCs w:val="20"/>
              </w:rPr>
              <w:t>Activity Category</w:t>
            </w:r>
          </w:p>
        </w:tc>
        <w:tc>
          <w:tcPr>
            <w:tcW w:w="41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05A07B20" w14:textId="77777777" w:rsidR="00747EDF" w:rsidRDefault="00000000">
            <w:r>
              <w:rPr>
                <w:b/>
                <w:bCs/>
                <w:color w:val="FFFFFF"/>
                <w:sz w:val="20"/>
                <w:szCs w:val="20"/>
              </w:rPr>
              <w:t>Specific Activities</w:t>
            </w:r>
          </w:p>
        </w:tc>
        <w:tc>
          <w:tcPr>
            <w:tcW w:w="30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78A03FA1" w14:textId="77777777" w:rsidR="00747EDF" w:rsidRDefault="00000000">
            <w:r>
              <w:rPr>
                <w:b/>
                <w:bCs/>
                <w:color w:val="FFFFFF"/>
                <w:sz w:val="20"/>
                <w:szCs w:val="20"/>
              </w:rPr>
              <w:t>Current Method</w:t>
            </w:r>
          </w:p>
        </w:tc>
      </w:tr>
      <w:tr w:rsidR="00747EDF" w14:paraId="48A6EEA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64BBB5" w14:textId="77777777" w:rsidR="00747EDF" w:rsidRDefault="00000000">
            <w:r>
              <w:rPr>
                <w:sz w:val="20"/>
                <w:szCs w:val="20"/>
              </w:rPr>
              <w:t>Document Screening &amp; Sampling</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81C18F" w14:textId="77777777" w:rsidR="00747EDF" w:rsidRDefault="00000000">
            <w:r>
              <w:rPr>
                <w:sz w:val="20"/>
                <w:szCs w:val="20"/>
              </w:rPr>
              <w:t>Picking up fraud-prone documents from loan applications; screening pre- and post-disbursement loan files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EB4445" w14:textId="77777777" w:rsidR="00747EDF" w:rsidRDefault="00000000">
            <w:r>
              <w:rPr>
                <w:sz w:val="20"/>
                <w:szCs w:val="20"/>
              </w:rPr>
              <w:t>Largely manual; spreadsheet-based tracking</w:t>
            </w:r>
          </w:p>
        </w:tc>
      </w:tr>
      <w:tr w:rsidR="00747EDF" w14:paraId="070629A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71F890A" w14:textId="77777777" w:rsidR="00747EDF" w:rsidRDefault="00000000">
            <w:r>
              <w:rPr>
                <w:sz w:val="20"/>
                <w:szCs w:val="20"/>
              </w:rPr>
              <w:t>Document Validation</w:t>
            </w:r>
          </w:p>
        </w:tc>
        <w:tc>
          <w:tcPr>
            <w:tcW w:w="4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FD919D4" w14:textId="77777777" w:rsidR="00747EDF" w:rsidRDefault="00000000">
            <w:r>
              <w:rPr>
                <w:sz w:val="20"/>
                <w:szCs w:val="20"/>
              </w:rPr>
              <w:t>Authenticating KYC documents (Aadhaar, PAN, Voter ID), income documents (ITR, salary slips, Form 16/26AS), bank statements, GSTR-3B/GSTR-1, utility bills</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6C0A1A5" w14:textId="77777777" w:rsidR="00747EDF" w:rsidRDefault="00000000">
            <w:r>
              <w:rPr>
                <w:sz w:val="20"/>
                <w:szCs w:val="20"/>
              </w:rPr>
              <w:t>Mix of manual checks and API-based verification</w:t>
            </w:r>
          </w:p>
        </w:tc>
      </w:tr>
      <w:tr w:rsidR="00747EDF" w14:paraId="229FC87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78EF65" w14:textId="77777777" w:rsidR="00747EDF" w:rsidRDefault="00000000">
            <w:r>
              <w:rPr>
                <w:sz w:val="20"/>
                <w:szCs w:val="20"/>
              </w:rPr>
              <w:t>Field Investigation (FI)</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84B59B" w14:textId="77777777" w:rsidR="00747EDF" w:rsidRDefault="00000000">
            <w:r>
              <w:rPr>
                <w:sz w:val="20"/>
                <w:szCs w:val="20"/>
              </w:rPr>
              <w:t>Physical verification of business/residence addresses, employer verification, reference checks, property inspection</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37D2D3" w14:textId="77777777" w:rsidR="00747EDF" w:rsidRDefault="00000000">
            <w:r>
              <w:rPr>
                <w:sz w:val="20"/>
                <w:szCs w:val="20"/>
              </w:rPr>
              <w:t>Outsourced to field agencies; paper-based reporting</w:t>
            </w:r>
          </w:p>
        </w:tc>
      </w:tr>
      <w:tr w:rsidR="00747EDF" w14:paraId="1D06171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6DB2319" w14:textId="77777777" w:rsidR="00747EDF" w:rsidRDefault="00000000">
            <w:r>
              <w:rPr>
                <w:sz w:val="20"/>
                <w:szCs w:val="20"/>
              </w:rPr>
              <w:t>Database &amp; Registry Checks</w:t>
            </w:r>
          </w:p>
        </w:tc>
        <w:tc>
          <w:tcPr>
            <w:tcW w:w="4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FDE5F0E" w14:textId="77777777" w:rsidR="00747EDF" w:rsidRDefault="00000000">
            <w:r>
              <w:rPr>
                <w:sz w:val="20"/>
                <w:szCs w:val="20"/>
              </w:rPr>
              <w:t>PEP screening, court record searches, CERSAI checks, MCA/ROC verification, CIBIL/bureau checks, negative database checks</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0F18849" w14:textId="77777777" w:rsidR="00747EDF" w:rsidRDefault="00000000">
            <w:r>
              <w:rPr>
                <w:sz w:val="20"/>
                <w:szCs w:val="20"/>
              </w:rPr>
              <w:t>Multiple disparate platforms; no unified view</w:t>
            </w:r>
          </w:p>
        </w:tc>
      </w:tr>
      <w:tr w:rsidR="00747EDF" w14:paraId="7D74357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B0742C" w14:textId="77777777" w:rsidR="00747EDF" w:rsidRDefault="00000000">
            <w:r>
              <w:rPr>
                <w:sz w:val="20"/>
                <w:szCs w:val="20"/>
              </w:rPr>
              <w:t>Fraud Pattern Analysis</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6572E8" w14:textId="77777777" w:rsidR="00747EDF" w:rsidRDefault="00000000">
            <w:r>
              <w:rPr>
                <w:sz w:val="20"/>
                <w:szCs w:val="20"/>
              </w:rPr>
              <w:t>Identifying syndicate fraud, document forgery patterns, repeat offender networks, geo-clustering of fraud</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F60D97" w14:textId="77777777" w:rsidR="00747EDF" w:rsidRDefault="00000000">
            <w:r>
              <w:rPr>
                <w:sz w:val="20"/>
                <w:szCs w:val="20"/>
              </w:rPr>
              <w:t>Minimal analytics; mostly reactive investigation</w:t>
            </w:r>
          </w:p>
        </w:tc>
      </w:tr>
      <w:tr w:rsidR="00747EDF" w14:paraId="47E3058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E35023B" w14:textId="77777777" w:rsidR="00747EDF" w:rsidRDefault="00000000">
            <w:r>
              <w:rPr>
                <w:sz w:val="20"/>
                <w:szCs w:val="20"/>
              </w:rPr>
              <w:t>Regulatory Reporting</w:t>
            </w:r>
          </w:p>
        </w:tc>
        <w:tc>
          <w:tcPr>
            <w:tcW w:w="4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2A37B29" w14:textId="77777777" w:rsidR="00747EDF" w:rsidRDefault="00000000">
            <w:r>
              <w:rPr>
                <w:sz w:val="20"/>
                <w:szCs w:val="20"/>
              </w:rPr>
              <w:t>Filing FMR (Fraud Monitoring Returns) to RBI, Red Flagged Account (RFA) reporting on CRILC, quarterly returns</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4B892C2" w14:textId="77777777" w:rsidR="00747EDF" w:rsidRDefault="00000000">
            <w:r>
              <w:rPr>
                <w:sz w:val="20"/>
                <w:szCs w:val="20"/>
              </w:rPr>
              <w:t>Manual filing; often delayed</w:t>
            </w:r>
          </w:p>
        </w:tc>
      </w:tr>
    </w:tbl>
    <w:p w14:paraId="6B57EFD8" w14:textId="77777777" w:rsidR="00747EDF" w:rsidRDefault="00747EDF">
      <w:pPr>
        <w:spacing w:after="200"/>
      </w:pPr>
    </w:p>
    <w:p w14:paraId="27992F93" w14:textId="77777777" w:rsidR="00747EDF" w:rsidRDefault="00000000">
      <w:pPr>
        <w:pStyle w:val="Heading2"/>
      </w:pPr>
      <w:bookmarkStart w:id="9" w:name="_Toc221626104"/>
      <w:r>
        <w:t>3.3 Pain Points in Current RCU Operations</w:t>
      </w:r>
      <w:bookmarkEnd w:id="9"/>
    </w:p>
    <w:p w14:paraId="3AC2E8DA" w14:textId="77777777" w:rsidR="00747EDF" w:rsidRDefault="00000000">
      <w:pPr>
        <w:pStyle w:val="ListParagraph"/>
        <w:numPr>
          <w:ilvl w:val="0"/>
          <w:numId w:val="3"/>
        </w:numPr>
        <w:spacing w:after="80" w:line="276" w:lineRule="auto"/>
      </w:pPr>
      <w:r>
        <w:t>Fragmented Tooling: RCU teams juggle between 8–15 different platforms for document verification, database checks, and field investigation management, resulting in significant inefficiency.</w:t>
      </w:r>
    </w:p>
    <w:p w14:paraId="626BD3DA" w14:textId="77777777" w:rsidR="00747EDF" w:rsidRDefault="00000000">
      <w:pPr>
        <w:pStyle w:val="ListParagraph"/>
        <w:numPr>
          <w:ilvl w:val="0"/>
          <w:numId w:val="3"/>
        </w:numPr>
        <w:spacing w:after="80" w:line="276" w:lineRule="auto"/>
      </w:pPr>
      <w:r>
        <w:t>Manual-Heavy Processes: Document screening, especially of scanned/photographed documents, remains heavily manual. Most NBFCs still rely on experienced “samplers” who visually inspect documents for fraud indicators.</w:t>
      </w:r>
    </w:p>
    <w:p w14:paraId="5DAB382C" w14:textId="77777777" w:rsidR="00747EDF" w:rsidRDefault="00000000">
      <w:pPr>
        <w:pStyle w:val="ListParagraph"/>
        <w:numPr>
          <w:ilvl w:val="0"/>
          <w:numId w:val="3"/>
        </w:numPr>
        <w:spacing w:after="80" w:line="276" w:lineRule="auto"/>
      </w:pPr>
      <w:r>
        <w:lastRenderedPageBreak/>
        <w:t>Poor Field Investigation Tracking: Field verification is typically outsourced to agencies with minimal real-time visibility into investigator location, report quality, or turnaround time.</w:t>
      </w:r>
    </w:p>
    <w:p w14:paraId="0C96D1FE" w14:textId="77777777" w:rsidR="00747EDF" w:rsidRDefault="00000000">
      <w:pPr>
        <w:pStyle w:val="ListParagraph"/>
        <w:numPr>
          <w:ilvl w:val="0"/>
          <w:numId w:val="3"/>
        </w:numPr>
        <w:spacing w:after="80" w:line="276" w:lineRule="auto"/>
      </w:pPr>
      <w:r>
        <w:t>No Centralized Fraud Intelligence: Most organizations lack a unified repository of fraud patterns, modus operandi, and negative databases that could enable proactive fraud detection.</w:t>
      </w:r>
    </w:p>
    <w:p w14:paraId="1102C73B" w14:textId="77777777" w:rsidR="00747EDF" w:rsidRDefault="00000000">
      <w:pPr>
        <w:pStyle w:val="ListParagraph"/>
        <w:numPr>
          <w:ilvl w:val="0"/>
          <w:numId w:val="3"/>
        </w:numPr>
        <w:spacing w:after="80" w:line="276" w:lineRule="auto"/>
      </w:pPr>
      <w:r>
        <w:t>Regulatory Reporting Burden: RBI’s July 2024 Master Directions on Fraud Risk Management now mandate 14-day reporting timelines, Early Warning Signal frameworks, and principles of natural justice compliance — creating significant operational overhead.</w:t>
      </w:r>
    </w:p>
    <w:p w14:paraId="32A1E0A0" w14:textId="77777777" w:rsidR="00747EDF" w:rsidRDefault="00000000">
      <w:pPr>
        <w:pStyle w:val="ListParagraph"/>
        <w:numPr>
          <w:ilvl w:val="0"/>
          <w:numId w:val="3"/>
        </w:numPr>
        <w:spacing w:after="80" w:line="276" w:lineRule="auto"/>
      </w:pPr>
      <w:r>
        <w:t>Scalability Challenges: As loan volumes grow 20–30% annually, the linear scaling model (more people = more checks) is unsustainable.</w:t>
      </w:r>
    </w:p>
    <w:p w14:paraId="07332AD4" w14:textId="77777777" w:rsidR="00747EDF" w:rsidRDefault="00747EDF">
      <w:pPr>
        <w:spacing w:after="200"/>
      </w:pPr>
    </w:p>
    <w:p w14:paraId="50FEAC2E" w14:textId="77777777" w:rsidR="00747EDF" w:rsidRDefault="00000000">
      <w:pPr>
        <w:pStyle w:val="Heading1"/>
      </w:pPr>
      <w:bookmarkStart w:id="10" w:name="_Toc221626105"/>
      <w:r>
        <w:t>4. Regulatory Framework &amp; Compliance Drivers</w:t>
      </w:r>
      <w:bookmarkEnd w:id="10"/>
    </w:p>
    <w:p w14:paraId="55203E25" w14:textId="77777777" w:rsidR="00747EDF" w:rsidRDefault="00000000">
      <w:pPr>
        <w:pStyle w:val="Heading2"/>
      </w:pPr>
      <w:bookmarkStart w:id="11" w:name="_Toc221626106"/>
      <w:r>
        <w:t>4.1 RBI Master Directions on Fraud Risk Management (July 2024)</w:t>
      </w:r>
      <w:bookmarkEnd w:id="11"/>
    </w:p>
    <w:p w14:paraId="50FCFEB0" w14:textId="77777777" w:rsidR="00747EDF" w:rsidRDefault="00000000">
      <w:pPr>
        <w:spacing w:after="120" w:line="276" w:lineRule="auto"/>
      </w:pPr>
      <w:r>
        <w:t>The most significant regulatory development driving demand for RCU technology is the RBI’s comprehensive overhaul of fraud risk management directions for NBFCs, issued on July 15, 2024. Key provisions include:</w:t>
      </w:r>
    </w:p>
    <w:p w14:paraId="14C37956" w14:textId="77777777" w:rsidR="00747EDF" w:rsidRDefault="00747EDF">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80"/>
        <w:gridCol w:w="3580"/>
      </w:tblGrid>
      <w:tr w:rsidR="00747EDF" w14:paraId="06B0576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2A129217" w14:textId="77777777" w:rsidR="00747EDF" w:rsidRDefault="00000000">
            <w:r>
              <w:rPr>
                <w:b/>
                <w:bCs/>
                <w:color w:val="FFFFFF"/>
                <w:sz w:val="20"/>
                <w:szCs w:val="20"/>
              </w:rPr>
              <w:t>Provision</w:t>
            </w:r>
          </w:p>
        </w:tc>
        <w:tc>
          <w:tcPr>
            <w:tcW w:w="358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257B3886" w14:textId="77777777" w:rsidR="00747EDF" w:rsidRDefault="00000000">
            <w:r>
              <w:rPr>
                <w:b/>
                <w:bCs/>
                <w:color w:val="FFFFFF"/>
                <w:sz w:val="20"/>
                <w:szCs w:val="20"/>
              </w:rPr>
              <w:t>Requirement</w:t>
            </w:r>
          </w:p>
        </w:tc>
        <w:tc>
          <w:tcPr>
            <w:tcW w:w="358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0334410E" w14:textId="77777777" w:rsidR="00747EDF" w:rsidRDefault="00000000">
            <w:r>
              <w:rPr>
                <w:b/>
                <w:bCs/>
                <w:color w:val="FFFFFF"/>
                <w:sz w:val="20"/>
                <w:szCs w:val="20"/>
              </w:rPr>
              <w:t>Impact on RCU Platform</w:t>
            </w:r>
          </w:p>
        </w:tc>
      </w:tr>
      <w:tr w:rsidR="00747EDF" w14:paraId="776EF13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16EA49" w14:textId="77777777" w:rsidR="00747EDF" w:rsidRDefault="00000000">
            <w:r>
              <w:rPr>
                <w:sz w:val="20"/>
                <w:szCs w:val="20"/>
              </w:rPr>
              <w:t>Applicability</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26BC64" w14:textId="77777777" w:rsidR="00747EDF" w:rsidRDefault="00000000">
            <w:r>
              <w:rPr>
                <w:sz w:val="20"/>
                <w:szCs w:val="20"/>
              </w:rPr>
              <w:t>All NBFCs in Upper, Middle, and Base Layer (assets ≥₹500 Cr)</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1616A0" w14:textId="77777777" w:rsidR="00747EDF" w:rsidRDefault="00000000">
            <w:r>
              <w:rPr>
                <w:sz w:val="20"/>
                <w:szCs w:val="20"/>
              </w:rPr>
              <w:t>Expands addressable market to thousands of NBFCs</w:t>
            </w:r>
          </w:p>
        </w:tc>
      </w:tr>
      <w:tr w:rsidR="00747EDF" w14:paraId="54F034F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6286C78" w14:textId="77777777" w:rsidR="00747EDF" w:rsidRDefault="00000000">
            <w:r>
              <w:rPr>
                <w:sz w:val="20"/>
                <w:szCs w:val="20"/>
              </w:rPr>
              <w:t>Fraud Risk Management Policy</w:t>
            </w:r>
          </w:p>
        </w:tc>
        <w:tc>
          <w:tcPr>
            <w:tcW w:w="35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7D63F4B" w14:textId="77777777" w:rsidR="00747EDF" w:rsidRDefault="00000000">
            <w:r>
              <w:rPr>
                <w:sz w:val="20"/>
                <w:szCs w:val="20"/>
              </w:rPr>
              <w:t>Board-approved policy covering prevention, detection, investigation, staff accountability, and recovery</w:t>
            </w:r>
          </w:p>
        </w:tc>
        <w:tc>
          <w:tcPr>
            <w:tcW w:w="35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146D1EC" w14:textId="77777777" w:rsidR="00747EDF" w:rsidRDefault="00000000">
            <w:r>
              <w:rPr>
                <w:sz w:val="20"/>
                <w:szCs w:val="20"/>
              </w:rPr>
              <w:t>Platform must support configurable policy workflows</w:t>
            </w:r>
          </w:p>
        </w:tc>
      </w:tr>
      <w:tr w:rsidR="00747EDF" w14:paraId="66918D8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2D70C1" w14:textId="77777777" w:rsidR="00747EDF" w:rsidRDefault="00000000">
            <w:r>
              <w:rPr>
                <w:sz w:val="20"/>
                <w:szCs w:val="20"/>
              </w:rPr>
              <w:t>Early Warning Signal (EWS) Framework</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4B6159" w14:textId="77777777" w:rsidR="00747EDF" w:rsidRDefault="00000000">
            <w:r>
              <w:rPr>
                <w:sz w:val="20"/>
                <w:szCs w:val="20"/>
              </w:rPr>
              <w:t>Mandatory EWS framework to proactively detect fraud indicators</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E266E0" w14:textId="77777777" w:rsidR="00747EDF" w:rsidRDefault="00000000">
            <w:r>
              <w:rPr>
                <w:sz w:val="20"/>
                <w:szCs w:val="20"/>
              </w:rPr>
              <w:t>Core feature: AI-driven EWS monitoring and alerting</w:t>
            </w:r>
          </w:p>
        </w:tc>
      </w:tr>
      <w:tr w:rsidR="00747EDF" w14:paraId="5A1FC2B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8EF01C0" w14:textId="77777777" w:rsidR="00747EDF" w:rsidRDefault="00000000">
            <w:r>
              <w:rPr>
                <w:sz w:val="20"/>
                <w:szCs w:val="20"/>
              </w:rPr>
              <w:t>Principles of Natural Justice</w:t>
            </w:r>
          </w:p>
        </w:tc>
        <w:tc>
          <w:tcPr>
            <w:tcW w:w="35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4232C2C" w14:textId="77777777" w:rsidR="00747EDF" w:rsidRDefault="00000000">
            <w:r>
              <w:rPr>
                <w:sz w:val="20"/>
                <w:szCs w:val="20"/>
              </w:rPr>
              <w:t>Show cause notice (21-day response period) before declaring fraud; documented examination process</w:t>
            </w:r>
          </w:p>
        </w:tc>
        <w:tc>
          <w:tcPr>
            <w:tcW w:w="35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4624C8E" w14:textId="77777777" w:rsidR="00747EDF" w:rsidRDefault="00000000">
            <w:r>
              <w:rPr>
                <w:sz w:val="20"/>
                <w:szCs w:val="20"/>
              </w:rPr>
              <w:t>Workflow module for SCN issuance, response tracking, and adjudication</w:t>
            </w:r>
          </w:p>
        </w:tc>
      </w:tr>
      <w:tr w:rsidR="00747EDF" w14:paraId="6C308AE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7EE717" w14:textId="77777777" w:rsidR="00747EDF" w:rsidRDefault="00000000">
            <w:r>
              <w:rPr>
                <w:sz w:val="20"/>
                <w:szCs w:val="20"/>
              </w:rPr>
              <w:t>FMR Reporting to RBI</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741EB2" w14:textId="77777777" w:rsidR="00747EDF" w:rsidRDefault="00000000">
            <w:r>
              <w:rPr>
                <w:sz w:val="20"/>
                <w:szCs w:val="20"/>
              </w:rPr>
              <w:t>Online portal filing within 14 days of classification; all frauds regardless of amount</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CA5521" w14:textId="77777777" w:rsidR="00747EDF" w:rsidRDefault="00000000">
            <w:r>
              <w:rPr>
                <w:sz w:val="20"/>
                <w:szCs w:val="20"/>
              </w:rPr>
              <w:t>Integrated regulatory reporting with auto-generation of FMRs</w:t>
            </w:r>
          </w:p>
        </w:tc>
      </w:tr>
      <w:tr w:rsidR="00747EDF" w14:paraId="21C4038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D4CED46" w14:textId="77777777" w:rsidR="00747EDF" w:rsidRDefault="00000000">
            <w:r>
              <w:rPr>
                <w:sz w:val="20"/>
                <w:szCs w:val="20"/>
              </w:rPr>
              <w:t>CRILC Reporting</w:t>
            </w:r>
          </w:p>
        </w:tc>
        <w:tc>
          <w:tcPr>
            <w:tcW w:w="35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B3762EF" w14:textId="77777777" w:rsidR="00747EDF" w:rsidRDefault="00000000">
            <w:r>
              <w:rPr>
                <w:sz w:val="20"/>
                <w:szCs w:val="20"/>
              </w:rPr>
              <w:t>Red Flagged Account reporting for exposures ≥₹3 Cr</w:t>
            </w:r>
          </w:p>
        </w:tc>
        <w:tc>
          <w:tcPr>
            <w:tcW w:w="35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6DB2FC3" w14:textId="77777777" w:rsidR="00747EDF" w:rsidRDefault="00000000">
            <w:r>
              <w:rPr>
                <w:sz w:val="20"/>
                <w:szCs w:val="20"/>
              </w:rPr>
              <w:t>Automated RFA identification and CRILC submission</w:t>
            </w:r>
          </w:p>
        </w:tc>
      </w:tr>
      <w:tr w:rsidR="00747EDF" w14:paraId="2AE3535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C790DA" w14:textId="77777777" w:rsidR="00747EDF" w:rsidRDefault="00000000">
            <w:r>
              <w:rPr>
                <w:sz w:val="20"/>
                <w:szCs w:val="20"/>
              </w:rPr>
              <w:t>LEA Reporting</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0CFA59" w14:textId="77777777" w:rsidR="00747EDF" w:rsidRDefault="00000000">
            <w:r>
              <w:rPr>
                <w:sz w:val="20"/>
                <w:szCs w:val="20"/>
              </w:rPr>
              <w:t>Mandatory reporting to State Police/CBI for significant frauds</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ED0B9D" w14:textId="77777777" w:rsidR="00747EDF" w:rsidRDefault="00000000">
            <w:r>
              <w:rPr>
                <w:sz w:val="20"/>
                <w:szCs w:val="20"/>
              </w:rPr>
              <w:t>Case management with LEA report generation</w:t>
            </w:r>
          </w:p>
        </w:tc>
      </w:tr>
      <w:tr w:rsidR="00747EDF" w14:paraId="38A1F5B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E01DBA4" w14:textId="77777777" w:rsidR="00747EDF" w:rsidRDefault="00000000">
            <w:r>
              <w:rPr>
                <w:sz w:val="20"/>
                <w:szCs w:val="20"/>
              </w:rPr>
              <w:lastRenderedPageBreak/>
              <w:t>Penal Measures</w:t>
            </w:r>
          </w:p>
        </w:tc>
        <w:tc>
          <w:tcPr>
            <w:tcW w:w="35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8542002" w14:textId="77777777" w:rsidR="00747EDF" w:rsidRDefault="00000000">
            <w:r>
              <w:rPr>
                <w:sz w:val="20"/>
                <w:szCs w:val="20"/>
              </w:rPr>
              <w:t>5-year debarment of fraud-classified entities from credit facilities</w:t>
            </w:r>
          </w:p>
        </w:tc>
        <w:tc>
          <w:tcPr>
            <w:tcW w:w="35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E5CC944" w14:textId="77777777" w:rsidR="00747EDF" w:rsidRDefault="00000000">
            <w:r>
              <w:rPr>
                <w:sz w:val="20"/>
                <w:szCs w:val="20"/>
              </w:rPr>
              <w:t>Negative database management and cross-institution sharing</w:t>
            </w:r>
          </w:p>
        </w:tc>
      </w:tr>
      <w:tr w:rsidR="00747EDF" w14:paraId="6101ADE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5B65C9" w14:textId="77777777" w:rsidR="00747EDF" w:rsidRDefault="00000000">
            <w:r>
              <w:rPr>
                <w:sz w:val="20"/>
                <w:szCs w:val="20"/>
              </w:rPr>
              <w:t>Staff Accountability</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5CABBC" w14:textId="77777777" w:rsidR="00747EDF" w:rsidRDefault="00000000">
            <w:r>
              <w:rPr>
                <w:sz w:val="20"/>
                <w:szCs w:val="20"/>
              </w:rPr>
              <w:t>Investigation of staff involvement and lapses</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350B5C" w14:textId="77777777" w:rsidR="00747EDF" w:rsidRDefault="00000000">
            <w:r>
              <w:rPr>
                <w:sz w:val="20"/>
                <w:szCs w:val="20"/>
              </w:rPr>
              <w:t>Internal investigation module with audit trails</w:t>
            </w:r>
          </w:p>
        </w:tc>
      </w:tr>
      <w:tr w:rsidR="00747EDF" w14:paraId="36CDC2F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878421E" w14:textId="77777777" w:rsidR="00747EDF" w:rsidRDefault="00000000">
            <w:r>
              <w:rPr>
                <w:sz w:val="20"/>
                <w:szCs w:val="20"/>
              </w:rPr>
              <w:t>Quarterly/Annual Reviews</w:t>
            </w:r>
          </w:p>
        </w:tc>
        <w:tc>
          <w:tcPr>
            <w:tcW w:w="35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88D4746" w14:textId="77777777" w:rsidR="00747EDF" w:rsidRDefault="00000000">
            <w:r>
              <w:rPr>
                <w:sz w:val="20"/>
                <w:szCs w:val="20"/>
              </w:rPr>
              <w:t>Board-level reporting on fraud trends, system adequacy, preventive measures</w:t>
            </w:r>
          </w:p>
        </w:tc>
        <w:tc>
          <w:tcPr>
            <w:tcW w:w="35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EF4221F" w14:textId="77777777" w:rsidR="00747EDF" w:rsidRDefault="00000000">
            <w:r>
              <w:rPr>
                <w:sz w:val="20"/>
                <w:szCs w:val="20"/>
              </w:rPr>
              <w:t>Dashboard analytics and automated board reporting</w:t>
            </w:r>
          </w:p>
        </w:tc>
      </w:tr>
    </w:tbl>
    <w:p w14:paraId="0EBE9246" w14:textId="77777777" w:rsidR="00747EDF" w:rsidRDefault="00747EDF">
      <w:pPr>
        <w:spacing w:after="200"/>
      </w:pPr>
    </w:p>
    <w:p w14:paraId="3FFE2E8B" w14:textId="77777777" w:rsidR="00747EDF" w:rsidRDefault="00000000">
      <w:pPr>
        <w:pStyle w:val="Heading2"/>
      </w:pPr>
      <w:bookmarkStart w:id="12" w:name="_Toc221626107"/>
      <w:r>
        <w:t>4.2 Digital Lending Directions (2025)</w:t>
      </w:r>
      <w:bookmarkEnd w:id="12"/>
    </w:p>
    <w:p w14:paraId="154C5D4B" w14:textId="77777777" w:rsidR="00747EDF" w:rsidRDefault="00000000">
      <w:pPr>
        <w:spacing w:after="120" w:line="276" w:lineRule="auto"/>
      </w:pPr>
      <w:r>
        <w:t>The RBI’s Digital Lending Directions, 2025, impose compliance obligations on Lending Service Providers (LSPs) and their regulated entity partners. NBFCs are held fully responsible for the actions of their LSPs, making robust verification and fraud detection essential across the entire lending chain.</w:t>
      </w:r>
    </w:p>
    <w:p w14:paraId="2DA3D512" w14:textId="77777777" w:rsidR="00747EDF" w:rsidRDefault="00000000">
      <w:pPr>
        <w:pStyle w:val="Heading2"/>
      </w:pPr>
      <w:bookmarkStart w:id="13" w:name="_Toc221626108"/>
      <w:r>
        <w:t>4.3 KYC/AML Compliance</w:t>
      </w:r>
      <w:bookmarkEnd w:id="13"/>
    </w:p>
    <w:p w14:paraId="0131F0AE" w14:textId="77777777" w:rsidR="00747EDF" w:rsidRDefault="00000000">
      <w:pPr>
        <w:spacing w:after="120" w:line="276" w:lineRule="auto"/>
      </w:pPr>
      <w:r>
        <w:t>RBI has intensified enforcement against KYC non-compliance. In FY24–25, 62 NBFCs were penalized for regulatory violations, with KYC norm violations being among the most common reasons. Specific violations include failure to verify PAN from issuing authority, allotment of multiple customer identification codes, and failure to implement suspicious transaction monitoring software.</w:t>
      </w:r>
    </w:p>
    <w:p w14:paraId="73EAEE38" w14:textId="77777777" w:rsidR="00747EDF" w:rsidRDefault="00000000">
      <w:pPr>
        <w:pStyle w:val="Heading2"/>
      </w:pPr>
      <w:bookmarkStart w:id="14" w:name="_Toc221626109"/>
      <w:r>
        <w:t>4.4 DPDP Act Implications</w:t>
      </w:r>
      <w:bookmarkEnd w:id="14"/>
    </w:p>
    <w:p w14:paraId="16C1BE3A" w14:textId="77777777" w:rsidR="00747EDF" w:rsidRDefault="00000000">
      <w:pPr>
        <w:spacing w:after="120" w:line="276" w:lineRule="auto"/>
      </w:pPr>
      <w:r>
        <w:t>The Digital Personal Data Protection (DPDP) Act adds another layer of compliance, requiring NBFCs to ensure that any verification platform handling personal data (Aadhaar, PAN, biometric data) complies with consent-based data processing, purpose limitation, and data minimization requirements.</w:t>
      </w:r>
    </w:p>
    <w:p w14:paraId="21AB7B08" w14:textId="77777777" w:rsidR="00747EDF" w:rsidRDefault="00747EDF">
      <w:pPr>
        <w:spacing w:after="200"/>
      </w:pPr>
    </w:p>
    <w:p w14:paraId="4A9BB214" w14:textId="77777777" w:rsidR="00747EDF" w:rsidRDefault="00000000">
      <w:pPr>
        <w:pStyle w:val="Heading1"/>
      </w:pPr>
      <w:bookmarkStart w:id="15" w:name="_Toc221626110"/>
      <w:r>
        <w:t>5. Competitive Landscape</w:t>
      </w:r>
      <w:bookmarkEnd w:id="15"/>
    </w:p>
    <w:p w14:paraId="520B90BE" w14:textId="77777777" w:rsidR="00747EDF" w:rsidRDefault="00000000">
      <w:pPr>
        <w:pStyle w:val="Heading2"/>
      </w:pPr>
      <w:bookmarkStart w:id="16" w:name="_Toc221626111"/>
      <w:r>
        <w:t>5.1 Market Segmentation of Competitors</w:t>
      </w:r>
      <w:bookmarkEnd w:id="16"/>
    </w:p>
    <w:p w14:paraId="20BC9CF2" w14:textId="77777777" w:rsidR="00747EDF" w:rsidRDefault="00000000">
      <w:pPr>
        <w:spacing w:after="120" w:line="276" w:lineRule="auto"/>
      </w:pPr>
      <w:r>
        <w:t>The RCU investigation platform market intersects with several adjacent technology segments. No single dominant player currently offers an end-to-end RCU investigation platform. Instead, the market is fragmented across the following categories:</w:t>
      </w:r>
    </w:p>
    <w:p w14:paraId="7EDDB42C" w14:textId="77777777" w:rsidR="00747EDF" w:rsidRDefault="00747EDF">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1"/>
        <w:gridCol w:w="2084"/>
        <w:gridCol w:w="3020"/>
        <w:gridCol w:w="2505"/>
      </w:tblGrid>
      <w:tr w:rsidR="00747EDF" w14:paraId="669A93C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1A55E809" w14:textId="77777777" w:rsidR="00747EDF" w:rsidRDefault="00000000">
            <w:r>
              <w:rPr>
                <w:b/>
                <w:bCs/>
                <w:color w:val="FFFFFF"/>
                <w:sz w:val="20"/>
                <w:szCs w:val="20"/>
              </w:rPr>
              <w:t>Category</w:t>
            </w:r>
          </w:p>
        </w:tc>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6CB3520C" w14:textId="77777777" w:rsidR="00747EDF" w:rsidRDefault="00000000">
            <w:r>
              <w:rPr>
                <w:b/>
                <w:bCs/>
                <w:color w:val="FFFFFF"/>
                <w:sz w:val="20"/>
                <w:szCs w:val="20"/>
              </w:rPr>
              <w:t>Key Players</w:t>
            </w:r>
          </w:p>
        </w:tc>
        <w:tc>
          <w:tcPr>
            <w:tcW w:w="268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365F79B7" w14:textId="77777777" w:rsidR="00747EDF" w:rsidRDefault="00000000">
            <w:r>
              <w:rPr>
                <w:b/>
                <w:bCs/>
                <w:color w:val="FFFFFF"/>
                <w:sz w:val="20"/>
                <w:szCs w:val="20"/>
              </w:rPr>
              <w:t>Strengths</w:t>
            </w:r>
          </w:p>
        </w:tc>
        <w:tc>
          <w:tcPr>
            <w:tcW w:w="268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07CD35EE" w14:textId="77777777" w:rsidR="00747EDF" w:rsidRDefault="00000000">
            <w:r>
              <w:rPr>
                <w:b/>
                <w:bCs/>
                <w:color w:val="FFFFFF"/>
                <w:sz w:val="20"/>
                <w:szCs w:val="20"/>
              </w:rPr>
              <w:t>Gaps (RCU Opportunity)</w:t>
            </w:r>
          </w:p>
        </w:tc>
      </w:tr>
      <w:tr w:rsidR="00747EDF" w14:paraId="3AD4684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23E221" w14:textId="77777777" w:rsidR="00747EDF" w:rsidRDefault="00000000">
            <w:r>
              <w:rPr>
                <w:sz w:val="20"/>
                <w:szCs w:val="20"/>
              </w:rPr>
              <w:lastRenderedPageBreak/>
              <w:t>KYC/Identity Verification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A6E59B" w14:textId="77777777" w:rsidR="00747EDF" w:rsidRDefault="00000000">
            <w:r>
              <w:rPr>
                <w:sz w:val="20"/>
                <w:szCs w:val="20"/>
              </w:rPr>
              <w:t>Perfios (Karza), Signzy, HyperVerge, IDfy, AuthBridge, Surepass, Gridlines</w:t>
            </w:r>
          </w:p>
        </w:tc>
        <w:tc>
          <w:tcPr>
            <w:tcW w:w="2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C32813" w14:textId="77777777" w:rsidR="00747EDF" w:rsidRDefault="00000000">
            <w:r>
              <w:rPr>
                <w:sz w:val="20"/>
                <w:szCs w:val="20"/>
              </w:rPr>
              <w:t>Strong API suites for Aadhaar/PAN/CKYC verification; Video KYC; OCR; facial matching</w:t>
            </w:r>
          </w:p>
        </w:tc>
        <w:tc>
          <w:tcPr>
            <w:tcW w:w="2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E546A8" w14:textId="77777777" w:rsidR="00747EDF" w:rsidRDefault="00000000">
            <w:r>
              <w:rPr>
                <w:sz w:val="20"/>
                <w:szCs w:val="20"/>
              </w:rPr>
              <w:t>Limited to onboarding; no investigation workflow, field verification, or fraud case management</w:t>
            </w:r>
          </w:p>
        </w:tc>
      </w:tr>
      <w:tr w:rsidR="00747EDF" w14:paraId="68C87B7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1B1766A" w14:textId="77777777" w:rsidR="00747EDF" w:rsidRDefault="00000000">
            <w:r>
              <w:rPr>
                <w:sz w:val="20"/>
                <w:szCs w:val="20"/>
              </w:rPr>
              <w:t>Loan Origination Systems (LOS)</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0187556" w14:textId="77777777" w:rsidR="00747EDF" w:rsidRDefault="00000000">
            <w:r>
              <w:rPr>
                <w:sz w:val="20"/>
                <w:szCs w:val="20"/>
              </w:rPr>
              <w:t>Perfios InteGREAT, Lentra, ScoreMe, Decimal, Newgen</w:t>
            </w:r>
          </w:p>
        </w:tc>
        <w:tc>
          <w:tcPr>
            <w:tcW w:w="2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55A19E5" w14:textId="77777777" w:rsidR="00747EDF" w:rsidRDefault="00000000">
            <w:r>
              <w:rPr>
                <w:sz w:val="20"/>
                <w:szCs w:val="20"/>
              </w:rPr>
              <w:t>End-to-end loan processing; document analysis; underwriting automation</w:t>
            </w:r>
          </w:p>
        </w:tc>
        <w:tc>
          <w:tcPr>
            <w:tcW w:w="2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CA032C5" w14:textId="77777777" w:rsidR="00747EDF" w:rsidRDefault="00000000">
            <w:r>
              <w:rPr>
                <w:sz w:val="20"/>
                <w:szCs w:val="20"/>
              </w:rPr>
              <w:t>RCU investigation is not a core focus; verification limited to pre-disbursement</w:t>
            </w:r>
          </w:p>
        </w:tc>
      </w:tr>
      <w:tr w:rsidR="00747EDF" w14:paraId="4495579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358481" w14:textId="77777777" w:rsidR="00747EDF" w:rsidRDefault="00000000">
            <w:r>
              <w:rPr>
                <w:sz w:val="20"/>
                <w:szCs w:val="20"/>
              </w:rPr>
              <w:t>RegTech/AML Platforms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2947DF" w14:textId="77777777" w:rsidR="00747EDF" w:rsidRDefault="00000000">
            <w:r>
              <w:rPr>
                <w:sz w:val="20"/>
                <w:szCs w:val="20"/>
              </w:rPr>
              <w:t>Jocata (GRID), Signzy, Tookitaki</w:t>
            </w:r>
          </w:p>
        </w:tc>
        <w:tc>
          <w:tcPr>
            <w:tcW w:w="2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B6E4FE" w14:textId="77777777" w:rsidR="00747EDF" w:rsidRDefault="00000000">
            <w:r>
              <w:rPr>
                <w:sz w:val="20"/>
                <w:szCs w:val="20"/>
              </w:rPr>
              <w:t>AML/CFT compliance; transaction monitoring; case management</w:t>
            </w:r>
          </w:p>
        </w:tc>
        <w:tc>
          <w:tcPr>
            <w:tcW w:w="2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7BB9D8" w14:textId="77777777" w:rsidR="00747EDF" w:rsidRDefault="00000000">
            <w:r>
              <w:rPr>
                <w:sz w:val="20"/>
                <w:szCs w:val="20"/>
              </w:rPr>
              <w:t>Not designed for retail lending fraud investigation; limited document forensics</w:t>
            </w:r>
          </w:p>
        </w:tc>
      </w:tr>
      <w:tr w:rsidR="00747EDF" w14:paraId="6ED2605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04DA6E0" w14:textId="77777777" w:rsidR="00747EDF" w:rsidRDefault="00000000">
            <w:r>
              <w:rPr>
                <w:sz w:val="20"/>
                <w:szCs w:val="20"/>
              </w:rPr>
              <w:t>Field Investigation Agencies</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E07BE9C" w14:textId="77777777" w:rsidR="00747EDF" w:rsidRDefault="00000000">
            <w:r>
              <w:rPr>
                <w:sz w:val="20"/>
                <w:szCs w:val="20"/>
              </w:rPr>
              <w:t>Millow, Bonafide BPO, SMA India, Singla Enterprises, KPRM</w:t>
            </w:r>
          </w:p>
        </w:tc>
        <w:tc>
          <w:tcPr>
            <w:tcW w:w="2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A283B56" w14:textId="77777777" w:rsidR="00747EDF" w:rsidRDefault="00000000">
            <w:r>
              <w:rPr>
                <w:sz w:val="20"/>
                <w:szCs w:val="20"/>
              </w:rPr>
              <w:t>Nationwide field verification networks; hands-on sampling experience</w:t>
            </w:r>
          </w:p>
        </w:tc>
        <w:tc>
          <w:tcPr>
            <w:tcW w:w="2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4795C2F" w14:textId="77777777" w:rsidR="00747EDF" w:rsidRDefault="00000000">
            <w:r>
              <w:rPr>
                <w:sz w:val="20"/>
                <w:szCs w:val="20"/>
              </w:rPr>
              <w:t>Technology-light; paper-based; no analytics; quality inconsistent</w:t>
            </w:r>
          </w:p>
        </w:tc>
      </w:tr>
      <w:tr w:rsidR="00747EDF" w14:paraId="1EBFB3F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C7181E" w14:textId="77777777" w:rsidR="00747EDF" w:rsidRDefault="00000000">
            <w:r>
              <w:rPr>
                <w:sz w:val="20"/>
                <w:szCs w:val="20"/>
              </w:rPr>
              <w:t>Background Verification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F4EC06" w14:textId="77777777" w:rsidR="00747EDF" w:rsidRDefault="00000000">
            <w:r>
              <w:rPr>
                <w:sz w:val="20"/>
                <w:szCs w:val="20"/>
              </w:rPr>
              <w:t>AuthBridge (TruthScreen), IDfy, SpringVerify</w:t>
            </w:r>
          </w:p>
        </w:tc>
        <w:tc>
          <w:tcPr>
            <w:tcW w:w="2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0F73B4" w14:textId="77777777" w:rsidR="00747EDF" w:rsidRDefault="00000000">
            <w:r>
              <w:rPr>
                <w:sz w:val="20"/>
                <w:szCs w:val="20"/>
              </w:rPr>
              <w:t>Employment/education/criminal record checks; enterprise-grade</w:t>
            </w:r>
          </w:p>
        </w:tc>
        <w:tc>
          <w:tcPr>
            <w:tcW w:w="2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D68BD9" w14:textId="77777777" w:rsidR="00747EDF" w:rsidRDefault="00000000">
            <w:r>
              <w:rPr>
                <w:sz w:val="20"/>
                <w:szCs w:val="20"/>
              </w:rPr>
              <w:t>Focused on HR/employment use case; not lending-specific</w:t>
            </w:r>
          </w:p>
        </w:tc>
      </w:tr>
      <w:tr w:rsidR="00747EDF" w14:paraId="00B8D86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B66C932" w14:textId="77777777" w:rsidR="00747EDF" w:rsidRDefault="00000000">
            <w:r>
              <w:rPr>
                <w:sz w:val="20"/>
                <w:szCs w:val="20"/>
              </w:rPr>
              <w:t>Credit Bureau/Data Analytics</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14146D2" w14:textId="77777777" w:rsidR="00747EDF" w:rsidRDefault="00000000">
            <w:r>
              <w:rPr>
                <w:sz w:val="20"/>
                <w:szCs w:val="20"/>
              </w:rPr>
              <w:t>CIBIL (TransUnion), Experian, CRIF, Equifax</w:t>
            </w:r>
          </w:p>
        </w:tc>
        <w:tc>
          <w:tcPr>
            <w:tcW w:w="2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046E750" w14:textId="77777777" w:rsidR="00747EDF" w:rsidRDefault="00000000">
            <w:r>
              <w:rPr>
                <w:sz w:val="20"/>
                <w:szCs w:val="20"/>
              </w:rPr>
              <w:t>Credit scores; consortium data; negative databases</w:t>
            </w:r>
          </w:p>
        </w:tc>
        <w:tc>
          <w:tcPr>
            <w:tcW w:w="2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B24E02C" w14:textId="77777777" w:rsidR="00747EDF" w:rsidRDefault="00000000">
            <w:r>
              <w:rPr>
                <w:sz w:val="20"/>
                <w:szCs w:val="20"/>
              </w:rPr>
              <w:t>No investigation workflow; limited to data provision</w:t>
            </w:r>
          </w:p>
        </w:tc>
      </w:tr>
    </w:tbl>
    <w:p w14:paraId="4E535205" w14:textId="77777777" w:rsidR="00747EDF" w:rsidRDefault="00747EDF">
      <w:pPr>
        <w:spacing w:after="200"/>
      </w:pPr>
    </w:p>
    <w:p w14:paraId="6D7E58CA" w14:textId="77777777" w:rsidR="00747EDF" w:rsidRDefault="00000000">
      <w:pPr>
        <w:pStyle w:val="Heading2"/>
      </w:pPr>
      <w:bookmarkStart w:id="17" w:name="_Toc221626112"/>
      <w:r>
        <w:t>5.2 Detailed Competitor Profiles</w:t>
      </w:r>
      <w:bookmarkEnd w:id="17"/>
    </w:p>
    <w:p w14:paraId="232133EC" w14:textId="77777777" w:rsidR="00747EDF" w:rsidRDefault="00000000">
      <w:pPr>
        <w:pStyle w:val="Heading3"/>
      </w:pPr>
      <w:bookmarkStart w:id="18" w:name="_Toc221626113"/>
      <w:r>
        <w:t>5.2.1 Perfios (including Karza)</w:t>
      </w:r>
      <w:bookmarkEnd w:id="18"/>
    </w:p>
    <w:p w14:paraId="4BD1A5FF" w14:textId="77777777" w:rsidR="00747EDF" w:rsidRDefault="00000000">
      <w:pPr>
        <w:spacing w:after="120" w:line="276" w:lineRule="auto"/>
      </w:pPr>
      <w:r>
        <w:t>Perfios is the most comprehensive player in the adjacent space. After acquiring Karza in 2022, it offers a wide stack: Bank Statement Analysis (BSA), document OCR, identity verification, credit assessment memo (CAM) generation, and its InteGREAT LOS platform. Over 400 clients and 8 crore monthly API calls. However, Perfios is fundamentally a data extraction and verification company — it does not provide investigation workflow management, field investigation tracking, or fraud case lifecycle management.</w:t>
      </w:r>
    </w:p>
    <w:p w14:paraId="44DA097E" w14:textId="77777777" w:rsidR="00747EDF" w:rsidRDefault="00000000">
      <w:pPr>
        <w:pStyle w:val="Heading3"/>
      </w:pPr>
      <w:bookmarkStart w:id="19" w:name="_Toc221626114"/>
      <w:r>
        <w:t>5.2.2 Signzy</w:t>
      </w:r>
      <w:bookmarkEnd w:id="19"/>
    </w:p>
    <w:p w14:paraId="7BAB0927" w14:textId="77777777" w:rsidR="00747EDF" w:rsidRDefault="00000000">
      <w:pPr>
        <w:spacing w:after="120" w:line="276" w:lineRule="auto"/>
      </w:pPr>
      <w:r>
        <w:t>Signzy is an AI-powered digital onboarding and compliance platform with 500+ clients worldwide (including ICICI, SBI). Offers Video KYC, AML checks, document verification, and 240+ APIs. Strong in onboarding automation but does not extend into post-disbursement investigation, RCU sampling workflows, or fraud case management.</w:t>
      </w:r>
    </w:p>
    <w:p w14:paraId="6B8B09F6" w14:textId="77777777" w:rsidR="00747EDF" w:rsidRDefault="00000000">
      <w:pPr>
        <w:pStyle w:val="Heading3"/>
      </w:pPr>
      <w:bookmarkStart w:id="20" w:name="_Toc221626115"/>
      <w:r>
        <w:t>5.2.3 HyperVerge</w:t>
      </w:r>
      <w:bookmarkEnd w:id="20"/>
    </w:p>
    <w:p w14:paraId="500A18AE" w14:textId="77777777" w:rsidR="00747EDF" w:rsidRDefault="00000000">
      <w:pPr>
        <w:spacing w:after="120" w:line="276" w:lineRule="auto"/>
      </w:pPr>
      <w:r>
        <w:t>Born from IIT Madras, HyperVerge uses deep learning for document analysis and facial authentication. Strong in high-volume onboarding and government initiatives. Positioned as a Karza alternative for NBFCs, particularly for income verification and bank statement analysis. Does not offer investigation or field verification capabilities.</w:t>
      </w:r>
    </w:p>
    <w:p w14:paraId="2E619DDC" w14:textId="77777777" w:rsidR="00747EDF" w:rsidRDefault="00000000">
      <w:pPr>
        <w:pStyle w:val="Heading3"/>
      </w:pPr>
      <w:bookmarkStart w:id="21" w:name="_Toc221626116"/>
      <w:r>
        <w:lastRenderedPageBreak/>
        <w:t>5.2.4 AuthBridge</w:t>
      </w:r>
      <w:bookmarkEnd w:id="21"/>
    </w:p>
    <w:p w14:paraId="71F1C1CF" w14:textId="77777777" w:rsidR="00747EDF" w:rsidRDefault="00000000">
      <w:pPr>
        <w:spacing w:after="120" w:line="276" w:lineRule="auto"/>
      </w:pPr>
      <w:r>
        <w:t>One of India’s oldest verification companies, AuthBridge offers its TruthScreen API platform for modular KYC verification, background screening, and fraud detection. Strong enterprise presence with large banks and NBFCs. Their behavioral analytics capabilities (analyzing micro-cues like eye movements and gesture patterns during video verification) are an emerging differentiator. However, their focus remains on verification rather than end-to-end RCU case management.</w:t>
      </w:r>
    </w:p>
    <w:p w14:paraId="62A50793" w14:textId="77777777" w:rsidR="00747EDF" w:rsidRDefault="00000000">
      <w:pPr>
        <w:pStyle w:val="Heading3"/>
      </w:pPr>
      <w:bookmarkStart w:id="22" w:name="_Toc221626117"/>
      <w:r>
        <w:t>5.2.5 Jocata (GRID Platform)</w:t>
      </w:r>
      <w:bookmarkEnd w:id="22"/>
    </w:p>
    <w:p w14:paraId="70208976" w14:textId="77777777" w:rsidR="00747EDF" w:rsidRDefault="00000000">
      <w:pPr>
        <w:spacing w:after="120" w:line="276" w:lineRule="auto"/>
      </w:pPr>
      <w:r>
        <w:t>Based in Hyderabad, Jocata’s GRID platform integrates AML, KYC remediation, fraud detection, and onboarding into a unified case management system. Closest to an RCU-adjacent platform, serving leading Indian banks and NBFCs for AML/CFT compliance. However, GRID is primarily designed for AML-specific workflows rather than retail lending RCU investigation.</w:t>
      </w:r>
    </w:p>
    <w:p w14:paraId="2B4665C3" w14:textId="77777777" w:rsidR="00747EDF" w:rsidRDefault="00000000">
      <w:pPr>
        <w:pStyle w:val="Heading3"/>
      </w:pPr>
      <w:bookmarkStart w:id="23" w:name="_Toc221626118"/>
      <w:r>
        <w:t>5.2.6 Field Investigation Agencies</w:t>
      </w:r>
      <w:bookmarkEnd w:id="23"/>
    </w:p>
    <w:p w14:paraId="46BAA0E9" w14:textId="77777777" w:rsidR="00747EDF" w:rsidRDefault="00000000">
      <w:pPr>
        <w:spacing w:after="120" w:line="276" w:lineRule="auto"/>
      </w:pPr>
      <w:r>
        <w:t>Traditional RCU operations are still heavily reliant on field investigation agencies such as Millow, Bonafide BPO, SMA India, KPRM, and others. These agencies provide nationwide networks of samplers and field investigators but operate with minimal technology infrastructure. Reports are often paper-based, turnaround times are inconsistent, and there is limited analytics capability. This segment represents the most significant displacement opportunity for a technology-first RCU platform.</w:t>
      </w:r>
    </w:p>
    <w:p w14:paraId="00BBF7E5" w14:textId="77777777" w:rsidR="00747EDF" w:rsidRDefault="00747EDF">
      <w:pPr>
        <w:spacing w:after="200"/>
      </w:pPr>
    </w:p>
    <w:p w14:paraId="4621B939" w14:textId="77777777" w:rsidR="00747EDF" w:rsidRDefault="00000000">
      <w:pPr>
        <w:pStyle w:val="Heading2"/>
      </w:pPr>
      <w:bookmarkStart w:id="24" w:name="_Toc221626119"/>
      <w:r>
        <w:t>5.3 Competitive White Space</w:t>
      </w:r>
      <w:bookmarkEnd w:id="24"/>
    </w:p>
    <w:p w14:paraId="16CB9FEB" w14:textId="77777777" w:rsidR="00747EDF" w:rsidRDefault="00000000">
      <w:pPr>
        <w:spacing w:after="120" w:line="276" w:lineRule="auto"/>
      </w:pPr>
      <w:r>
        <w:t>The analysis reveals a clear white space in the market for a unified RCU Investigation Platform that bridges the gap between:</w:t>
      </w:r>
    </w:p>
    <w:p w14:paraId="1CC2C201" w14:textId="77777777" w:rsidR="00747EDF" w:rsidRDefault="00000000">
      <w:pPr>
        <w:pStyle w:val="ListParagraph"/>
        <w:numPr>
          <w:ilvl w:val="0"/>
          <w:numId w:val="2"/>
        </w:numPr>
        <w:spacing w:after="80" w:line="276" w:lineRule="auto"/>
      </w:pPr>
      <w:r>
        <w:t>API-based verification providers (who handle point-checks but not investigation workflows)</w:t>
      </w:r>
    </w:p>
    <w:p w14:paraId="76996CB6" w14:textId="77777777" w:rsidR="00747EDF" w:rsidRDefault="00000000">
      <w:pPr>
        <w:pStyle w:val="ListParagraph"/>
        <w:numPr>
          <w:ilvl w:val="0"/>
          <w:numId w:val="2"/>
        </w:numPr>
        <w:spacing w:after="80" w:line="276" w:lineRule="auto"/>
      </w:pPr>
      <w:r>
        <w:t>LOS platforms (who focus on origination but not post-disbursement fraud investigation)</w:t>
      </w:r>
    </w:p>
    <w:p w14:paraId="76EC85D7" w14:textId="77777777" w:rsidR="00747EDF" w:rsidRDefault="00000000">
      <w:pPr>
        <w:pStyle w:val="ListParagraph"/>
        <w:numPr>
          <w:ilvl w:val="0"/>
          <w:numId w:val="2"/>
        </w:numPr>
        <w:spacing w:after="80" w:line="276" w:lineRule="auto"/>
      </w:pPr>
      <w:r>
        <w:t>Field investigation agencies (who provide boots-on-the-ground but lack technology)</w:t>
      </w:r>
    </w:p>
    <w:p w14:paraId="6AD76F88" w14:textId="77777777" w:rsidR="00747EDF" w:rsidRDefault="00000000">
      <w:pPr>
        <w:pStyle w:val="ListParagraph"/>
        <w:numPr>
          <w:ilvl w:val="0"/>
          <w:numId w:val="2"/>
        </w:numPr>
        <w:spacing w:after="80" w:line="276" w:lineRule="auto"/>
      </w:pPr>
      <w:r>
        <w:t>RegTech/AML platforms (who handle compliance but not retail lending fraud specifics)</w:t>
      </w:r>
    </w:p>
    <w:p w14:paraId="65DE99EF" w14:textId="77777777" w:rsidR="00747EDF" w:rsidRDefault="00747EDF">
      <w:pPr>
        <w:spacing w:after="200"/>
      </w:pPr>
    </w:p>
    <w:p w14:paraId="27C44476" w14:textId="77777777" w:rsidR="00747EDF" w:rsidRDefault="00000000">
      <w:pPr>
        <w:pStyle w:val="Heading1"/>
      </w:pPr>
      <w:bookmarkStart w:id="25" w:name="_Toc221626120"/>
      <w:r>
        <w:t>6. Addressable Market Sizing</w:t>
      </w:r>
      <w:bookmarkEnd w:id="25"/>
    </w:p>
    <w:p w14:paraId="2F832627" w14:textId="77777777" w:rsidR="00747EDF" w:rsidRDefault="00000000">
      <w:pPr>
        <w:pStyle w:val="Heading2"/>
      </w:pPr>
      <w:bookmarkStart w:id="26" w:name="_Toc221626121"/>
      <w:r>
        <w:t>6.1 TAM-SAM-SOM Framework</w:t>
      </w:r>
      <w:bookmarkEnd w:id="26"/>
    </w:p>
    <w:p w14:paraId="555B845A" w14:textId="77777777" w:rsidR="00747EDF" w:rsidRDefault="00747EDF">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800"/>
        <w:gridCol w:w="3760"/>
      </w:tblGrid>
      <w:tr w:rsidR="00747EDF" w14:paraId="523969E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32F156E6" w14:textId="77777777" w:rsidR="00747EDF" w:rsidRDefault="00000000">
            <w:r>
              <w:rPr>
                <w:b/>
                <w:bCs/>
                <w:color w:val="FFFFFF"/>
                <w:sz w:val="20"/>
                <w:szCs w:val="20"/>
              </w:rPr>
              <w:t>Market Segment</w:t>
            </w:r>
          </w:p>
        </w:tc>
        <w:tc>
          <w:tcPr>
            <w:tcW w:w="28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6F9F861A" w14:textId="77777777" w:rsidR="00747EDF" w:rsidRDefault="00000000">
            <w:r>
              <w:rPr>
                <w:b/>
                <w:bCs/>
                <w:color w:val="FFFFFF"/>
                <w:sz w:val="20"/>
                <w:szCs w:val="20"/>
              </w:rPr>
              <w:t>Size Estimate</w:t>
            </w:r>
          </w:p>
        </w:tc>
        <w:tc>
          <w:tcPr>
            <w:tcW w:w="37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55E87766" w14:textId="77777777" w:rsidR="00747EDF" w:rsidRDefault="00000000">
            <w:r>
              <w:rPr>
                <w:b/>
                <w:bCs/>
                <w:color w:val="FFFFFF"/>
                <w:sz w:val="20"/>
                <w:szCs w:val="20"/>
              </w:rPr>
              <w:t>Rationale</w:t>
            </w:r>
          </w:p>
        </w:tc>
      </w:tr>
      <w:tr w:rsidR="00747EDF" w14:paraId="219A949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9FD72B" w14:textId="77777777" w:rsidR="00747EDF" w:rsidRDefault="00000000">
            <w:r>
              <w:rPr>
                <w:sz w:val="20"/>
                <w:szCs w:val="20"/>
              </w:rPr>
              <w:lastRenderedPageBreak/>
              <w:t>Total Addressable Market (TAM)</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0E852F" w14:textId="77777777" w:rsidR="00747EDF" w:rsidRDefault="00000000">
            <w:r>
              <w:rPr>
                <w:sz w:val="20"/>
                <w:szCs w:val="20"/>
              </w:rPr>
              <w:t>₹4,500–6,000 Cr (~USD 540–720M)</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181996" w14:textId="77777777" w:rsidR="00747EDF" w:rsidRDefault="00000000">
            <w:r>
              <w:rPr>
                <w:sz w:val="20"/>
                <w:szCs w:val="20"/>
              </w:rPr>
              <w:t>All fraud detection, verification, and investigation spending by India’s 9,300+ NBFCs and ~40 banks actively using RCU services, including in-house teams, agency costs, and technology spend</w:t>
            </w:r>
          </w:p>
        </w:tc>
      </w:tr>
      <w:tr w:rsidR="00747EDF" w14:paraId="6D6AEC0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24248EE" w14:textId="77777777" w:rsidR="00747EDF" w:rsidRDefault="00000000">
            <w:r>
              <w:rPr>
                <w:sz w:val="20"/>
                <w:szCs w:val="20"/>
              </w:rPr>
              <w:t>Serviceable Addressable Market (SAM)</w:t>
            </w:r>
          </w:p>
        </w:tc>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3F4AC87" w14:textId="77777777" w:rsidR="00747EDF" w:rsidRDefault="00000000">
            <w:r>
              <w:rPr>
                <w:sz w:val="20"/>
                <w:szCs w:val="20"/>
              </w:rPr>
              <w:t>₹1,800–2,400 Cr (~USD 215–290M)</w:t>
            </w:r>
          </w:p>
        </w:tc>
        <w:tc>
          <w:tcPr>
            <w:tcW w:w="37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C8B7741" w14:textId="77777777" w:rsidR="00747EDF" w:rsidRDefault="00000000">
            <w:r>
              <w:rPr>
                <w:sz w:val="20"/>
                <w:szCs w:val="20"/>
              </w:rPr>
              <w:t>Technology-enabled RCU investigation platforms specifically for Upper and Middle Layer NBFCs (~500–600 entities) and private sector banks with active retail lending portfolios</w:t>
            </w:r>
          </w:p>
        </w:tc>
      </w:tr>
      <w:tr w:rsidR="00747EDF" w14:paraId="1A3C161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ECB1B7" w14:textId="77777777" w:rsidR="00747EDF" w:rsidRDefault="00000000">
            <w:r>
              <w:rPr>
                <w:sz w:val="20"/>
                <w:szCs w:val="20"/>
              </w:rPr>
              <w:t>Serviceable Obtainable Market (SOM) — Year 3</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6A7ABE" w14:textId="77777777" w:rsidR="00747EDF" w:rsidRDefault="00000000">
            <w:r>
              <w:rPr>
                <w:sz w:val="20"/>
                <w:szCs w:val="20"/>
              </w:rPr>
              <w:t>₹150–250 Cr (~USD 18–30M)</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F3ACE1" w14:textId="77777777" w:rsidR="00747EDF" w:rsidRDefault="00000000">
            <w:r>
              <w:rPr>
                <w:sz w:val="20"/>
                <w:szCs w:val="20"/>
              </w:rPr>
              <w:t>Realistic capture with ~40–60 NBFC clients and 5–10 bank clients within 3 years, assuming average contract value of ₹30–50 lakh per annum for mid-size NBFCs and ₹1–2 Cr for large NBFCs/banks</w:t>
            </w:r>
          </w:p>
        </w:tc>
      </w:tr>
    </w:tbl>
    <w:p w14:paraId="0E2969B3" w14:textId="77777777" w:rsidR="00747EDF" w:rsidRDefault="00747EDF">
      <w:pPr>
        <w:spacing w:after="200"/>
      </w:pPr>
    </w:p>
    <w:p w14:paraId="65C8A19C" w14:textId="77777777" w:rsidR="00747EDF" w:rsidRDefault="00000000">
      <w:pPr>
        <w:pStyle w:val="Heading2"/>
      </w:pPr>
      <w:bookmarkStart w:id="27" w:name="_Toc221626122"/>
      <w:r>
        <w:t>6.2 Pricing Benchmarks</w:t>
      </w:r>
      <w:bookmarkEnd w:id="27"/>
    </w:p>
    <w:p w14:paraId="5CECD69B" w14:textId="77777777" w:rsidR="00747EDF" w:rsidRDefault="00000000">
      <w:pPr>
        <w:spacing w:after="120" w:line="276" w:lineRule="auto"/>
      </w:pPr>
      <w:r>
        <w:t>Based on competitor analysis and industry benchmarks, RCU platform pricing typically follows these models: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360"/>
        <w:gridCol w:w="3000"/>
      </w:tblGrid>
      <w:tr w:rsidR="00747EDF" w14:paraId="7408F7C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04F1D898" w14:textId="77777777" w:rsidR="00747EDF" w:rsidRDefault="00000000">
            <w:r>
              <w:rPr>
                <w:b/>
                <w:bCs/>
                <w:color w:val="FFFFFF"/>
                <w:sz w:val="20"/>
                <w:szCs w:val="20"/>
              </w:rPr>
              <w:t>Pricing Model</w:t>
            </w:r>
          </w:p>
        </w:tc>
        <w:tc>
          <w:tcPr>
            <w:tcW w:w="33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4D0F025B" w14:textId="77777777" w:rsidR="00747EDF" w:rsidRDefault="00000000">
            <w:r>
              <w:rPr>
                <w:b/>
                <w:bCs/>
                <w:color w:val="FFFFFF"/>
                <w:sz w:val="20"/>
                <w:szCs w:val="20"/>
              </w:rPr>
              <w:t>Range</w:t>
            </w:r>
          </w:p>
        </w:tc>
        <w:tc>
          <w:tcPr>
            <w:tcW w:w="30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53DA2D4E" w14:textId="77777777" w:rsidR="00747EDF" w:rsidRDefault="00000000">
            <w:r>
              <w:rPr>
                <w:b/>
                <w:bCs/>
                <w:color w:val="FFFFFF"/>
                <w:sz w:val="20"/>
                <w:szCs w:val="20"/>
              </w:rPr>
              <w:t>Best For</w:t>
            </w:r>
          </w:p>
        </w:tc>
      </w:tr>
      <w:tr w:rsidR="00747EDF" w14:paraId="302AA5C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168375" w14:textId="77777777" w:rsidR="00747EDF" w:rsidRDefault="00000000">
            <w:r>
              <w:rPr>
                <w:sz w:val="20"/>
                <w:szCs w:val="20"/>
              </w:rPr>
              <w:t>Per-verification API calls</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BDE436" w14:textId="77777777" w:rsidR="00747EDF" w:rsidRDefault="00000000">
            <w:r>
              <w:rPr>
                <w:sz w:val="20"/>
                <w:szCs w:val="20"/>
              </w:rPr>
              <w:t>₹5–50 per check (depending on type)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E8DB1C" w14:textId="77777777" w:rsidR="00747EDF" w:rsidRDefault="00000000">
            <w:r>
              <w:rPr>
                <w:sz w:val="20"/>
                <w:szCs w:val="20"/>
              </w:rPr>
              <w:t>Small NBFCs with low volumes</w:t>
            </w:r>
          </w:p>
        </w:tc>
      </w:tr>
      <w:tr w:rsidR="00747EDF" w14:paraId="7F26463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F278136" w14:textId="77777777" w:rsidR="00747EDF" w:rsidRDefault="00000000">
            <w:r>
              <w:rPr>
                <w:sz w:val="20"/>
                <w:szCs w:val="20"/>
              </w:rPr>
              <w:t>Monthly SaaS subscription</w:t>
            </w:r>
          </w:p>
        </w:tc>
        <w:tc>
          <w:tcPr>
            <w:tcW w:w="3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994E95B" w14:textId="77777777" w:rsidR="00747EDF" w:rsidRDefault="00000000">
            <w:r>
              <w:rPr>
                <w:sz w:val="20"/>
                <w:szCs w:val="20"/>
              </w:rPr>
              <w:t>₹1–5 Lakh/month</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0C921E6" w14:textId="77777777" w:rsidR="00747EDF" w:rsidRDefault="00000000">
            <w:r>
              <w:rPr>
                <w:sz w:val="20"/>
                <w:szCs w:val="20"/>
              </w:rPr>
              <w:t>Mid-size NBFCs with moderate volumes</w:t>
            </w:r>
          </w:p>
        </w:tc>
      </w:tr>
      <w:tr w:rsidR="00747EDF" w14:paraId="6B1288C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60F875" w14:textId="77777777" w:rsidR="00747EDF" w:rsidRDefault="00000000">
            <w:r>
              <w:rPr>
                <w:sz w:val="20"/>
                <w:szCs w:val="20"/>
              </w:rPr>
              <w:t>Enterprise license + usage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28952A" w14:textId="77777777" w:rsidR="00747EDF" w:rsidRDefault="00000000">
            <w:r>
              <w:rPr>
                <w:sz w:val="20"/>
                <w:szCs w:val="20"/>
              </w:rPr>
              <w:t>₹25–75 Lakh/year + per-case fees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EF656B" w14:textId="77777777" w:rsidR="00747EDF" w:rsidRDefault="00000000">
            <w:r>
              <w:rPr>
                <w:sz w:val="20"/>
                <w:szCs w:val="20"/>
              </w:rPr>
              <w:t>Large NBFCs and banks</w:t>
            </w:r>
          </w:p>
        </w:tc>
      </w:tr>
      <w:tr w:rsidR="00747EDF" w14:paraId="1DF24C9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115D1AC" w14:textId="77777777" w:rsidR="00747EDF" w:rsidRDefault="00000000">
            <w:r>
              <w:rPr>
                <w:sz w:val="20"/>
                <w:szCs w:val="20"/>
              </w:rPr>
              <w:t>Platform + field agency bundle</w:t>
            </w:r>
          </w:p>
        </w:tc>
        <w:tc>
          <w:tcPr>
            <w:tcW w:w="3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D1980BB" w14:textId="77777777" w:rsidR="00747EDF" w:rsidRDefault="00000000">
            <w:r>
              <w:rPr>
                <w:sz w:val="20"/>
                <w:szCs w:val="20"/>
              </w:rPr>
              <w:t>₹50 Lakh–₹2 Cr/year</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66C908D" w14:textId="77777777" w:rsidR="00747EDF" w:rsidRDefault="00000000">
            <w:r>
              <w:rPr>
                <w:sz w:val="20"/>
                <w:szCs w:val="20"/>
              </w:rPr>
              <w:t>Full-service RCU outsourcing</w:t>
            </w:r>
          </w:p>
        </w:tc>
      </w:tr>
    </w:tbl>
    <w:p w14:paraId="736FF3E5" w14:textId="77777777" w:rsidR="00747EDF" w:rsidRDefault="00747EDF">
      <w:pPr>
        <w:spacing w:after="200"/>
      </w:pPr>
    </w:p>
    <w:p w14:paraId="28EC9240" w14:textId="77777777" w:rsidR="00747EDF" w:rsidRDefault="00000000">
      <w:pPr>
        <w:pStyle w:val="Heading1"/>
      </w:pPr>
      <w:bookmarkStart w:id="28" w:name="_Toc221626123"/>
      <w:r>
        <w:t>7. Technology Landscape &amp; Platform Architecture</w:t>
      </w:r>
      <w:bookmarkEnd w:id="28"/>
    </w:p>
    <w:p w14:paraId="16B3770C" w14:textId="77777777" w:rsidR="00747EDF" w:rsidRDefault="00000000">
      <w:pPr>
        <w:pStyle w:val="Heading2"/>
      </w:pPr>
      <w:bookmarkStart w:id="29" w:name="_Toc221626124"/>
      <w:r>
        <w:t>7.1 Core Technology Components</w:t>
      </w:r>
      <w:bookmarkEnd w:id="29"/>
    </w:p>
    <w:p w14:paraId="7DEABA02" w14:textId="77777777" w:rsidR="00747EDF" w:rsidRDefault="00000000">
      <w:pPr>
        <w:spacing w:after="120" w:line="276" w:lineRule="auto"/>
      </w:pPr>
      <w:r>
        <w:t>A comprehensive RCU Investigation Platform should incorporate the following technology modules:</w:t>
      </w:r>
    </w:p>
    <w:p w14:paraId="30EED6D6" w14:textId="77777777" w:rsidR="00747EDF" w:rsidRDefault="00747EDF">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80"/>
        <w:gridCol w:w="3480"/>
      </w:tblGrid>
      <w:tr w:rsidR="00747EDF" w14:paraId="0B3B855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55B4B02D" w14:textId="77777777" w:rsidR="00747EDF" w:rsidRDefault="00000000">
            <w:r>
              <w:rPr>
                <w:b/>
                <w:bCs/>
                <w:color w:val="FFFFFF"/>
                <w:sz w:val="20"/>
                <w:szCs w:val="20"/>
              </w:rPr>
              <w:t>Module</w:t>
            </w:r>
          </w:p>
        </w:tc>
        <w:tc>
          <w:tcPr>
            <w:tcW w:w="348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0FD77F6C" w14:textId="77777777" w:rsidR="00747EDF" w:rsidRDefault="00000000">
            <w:r>
              <w:rPr>
                <w:b/>
                <w:bCs/>
                <w:color w:val="FFFFFF"/>
                <w:sz w:val="20"/>
                <w:szCs w:val="20"/>
              </w:rPr>
              <w:t>Capabilities</w:t>
            </w:r>
          </w:p>
        </w:tc>
        <w:tc>
          <w:tcPr>
            <w:tcW w:w="348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59401A3D" w14:textId="77777777" w:rsidR="00747EDF" w:rsidRDefault="00000000">
            <w:r>
              <w:rPr>
                <w:b/>
                <w:bCs/>
                <w:color w:val="FFFFFF"/>
                <w:sz w:val="20"/>
                <w:szCs w:val="20"/>
              </w:rPr>
              <w:t>Technology Stack</w:t>
            </w:r>
          </w:p>
        </w:tc>
      </w:tr>
      <w:tr w:rsidR="00747EDF" w14:paraId="16FA82D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77BCD1" w14:textId="77777777" w:rsidR="00747EDF" w:rsidRDefault="00000000">
            <w:r>
              <w:rPr>
                <w:sz w:val="20"/>
                <w:szCs w:val="20"/>
              </w:rPr>
              <w:t>Document Intelligence Engine</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935FB6" w14:textId="77777777" w:rsidR="00747EDF" w:rsidRDefault="00000000">
            <w:r>
              <w:rPr>
                <w:sz w:val="20"/>
                <w:szCs w:val="20"/>
              </w:rPr>
              <w:t xml:space="preserve">OCR for structured/unstructured documents; tampering detection; cross-document reconciliation; </w:t>
            </w:r>
            <w:r>
              <w:rPr>
                <w:sz w:val="20"/>
                <w:szCs w:val="20"/>
              </w:rPr>
              <w:lastRenderedPageBreak/>
              <w:t>multi-format support (PDF, scanned images, photos)</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CBB563" w14:textId="77777777" w:rsidR="00747EDF" w:rsidRDefault="00000000">
            <w:r>
              <w:rPr>
                <w:sz w:val="20"/>
                <w:szCs w:val="20"/>
              </w:rPr>
              <w:lastRenderedPageBreak/>
              <w:t>Computer Vision, Deep Learning (CNN), NLP, Tesseract/custom OCR</w:t>
            </w:r>
          </w:p>
        </w:tc>
      </w:tr>
      <w:tr w:rsidR="00747EDF" w14:paraId="345808C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37B2158" w14:textId="77777777" w:rsidR="00747EDF" w:rsidRDefault="00000000">
            <w:r>
              <w:rPr>
                <w:sz w:val="20"/>
                <w:szCs w:val="20"/>
              </w:rPr>
              <w:t>Identity Verification Suite</w:t>
            </w:r>
          </w:p>
        </w:tc>
        <w:tc>
          <w:tcPr>
            <w:tcW w:w="34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5BAE444" w14:textId="77777777" w:rsidR="00747EDF" w:rsidRDefault="00000000">
            <w:r>
              <w:rPr>
                <w:sz w:val="20"/>
                <w:szCs w:val="20"/>
              </w:rPr>
              <w:t>Aadhaar XML/OTP, PAN, Voter ID, Driving License verification; CKYC lookup; DigiLocker integration; Video KYC with V-CIP compliance</w:t>
            </w:r>
          </w:p>
        </w:tc>
        <w:tc>
          <w:tcPr>
            <w:tcW w:w="34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DD3E07E" w14:textId="77777777" w:rsidR="00747EDF" w:rsidRDefault="00000000">
            <w:r>
              <w:rPr>
                <w:sz w:val="20"/>
                <w:szCs w:val="20"/>
              </w:rPr>
              <w:t>API integrations (UIDAI, NSDL, DigiLocker), Face matching models</w:t>
            </w:r>
          </w:p>
        </w:tc>
      </w:tr>
      <w:tr w:rsidR="00747EDF" w14:paraId="49CBDB4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56A82B" w14:textId="77777777" w:rsidR="00747EDF" w:rsidRDefault="00000000">
            <w:r>
              <w:rPr>
                <w:sz w:val="20"/>
                <w:szCs w:val="20"/>
              </w:rPr>
              <w:t>Financial Document Analyzer</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7E5197" w14:textId="77777777" w:rsidR="00747EDF" w:rsidRDefault="00000000">
            <w:r>
              <w:rPr>
                <w:sz w:val="20"/>
                <w:szCs w:val="20"/>
              </w:rPr>
              <w:t>Bank statement analysis; ITR/Form 16/26AS parsing; GST return analysis; salary slip verification; cross-source income triangulation</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0CCAC6" w14:textId="77777777" w:rsidR="00747EDF" w:rsidRDefault="00000000">
            <w:r>
              <w:rPr>
                <w:sz w:val="20"/>
                <w:szCs w:val="20"/>
              </w:rPr>
              <w:t>ML-based extraction, Rule engines, Anomaly detection</w:t>
            </w:r>
          </w:p>
        </w:tc>
      </w:tr>
      <w:tr w:rsidR="00747EDF" w14:paraId="6A404AE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CA737D6" w14:textId="77777777" w:rsidR="00747EDF" w:rsidRDefault="00000000">
            <w:r>
              <w:rPr>
                <w:sz w:val="20"/>
                <w:szCs w:val="20"/>
              </w:rPr>
              <w:t>Field Investigation Manager</w:t>
            </w:r>
          </w:p>
        </w:tc>
        <w:tc>
          <w:tcPr>
            <w:tcW w:w="34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615E3D0" w14:textId="77777777" w:rsidR="00747EDF" w:rsidRDefault="00000000">
            <w:r>
              <w:rPr>
                <w:sz w:val="20"/>
                <w:szCs w:val="20"/>
              </w:rPr>
              <w:t>Geo-tagged field visits; investigator assignment &amp; tracking; photo/video evidence capture; digital FI report generation; SLA monitoring</w:t>
            </w:r>
          </w:p>
        </w:tc>
        <w:tc>
          <w:tcPr>
            <w:tcW w:w="34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0D15896" w14:textId="77777777" w:rsidR="00747EDF" w:rsidRDefault="00000000">
            <w:r>
              <w:rPr>
                <w:sz w:val="20"/>
                <w:szCs w:val="20"/>
              </w:rPr>
              <w:t>Mobile app (Android/iOS), GPS, Cloud storage, Workflow engine</w:t>
            </w:r>
          </w:p>
        </w:tc>
      </w:tr>
      <w:tr w:rsidR="00747EDF" w14:paraId="6CB8D71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868D02" w14:textId="77777777" w:rsidR="00747EDF" w:rsidRDefault="00000000">
            <w:r>
              <w:rPr>
                <w:sz w:val="20"/>
                <w:szCs w:val="20"/>
              </w:rPr>
              <w:t>Fraud Analytics &amp; Intelligence</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DC60B1" w14:textId="77777777" w:rsidR="00747EDF" w:rsidRDefault="00000000">
            <w:r>
              <w:rPr>
                <w:sz w:val="20"/>
                <w:szCs w:val="20"/>
              </w:rPr>
              <w:t>Pattern detection across applications; syndicate identification; negative database management; geo-clustering; behavioral scoring</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762D68" w14:textId="77777777" w:rsidR="00747EDF" w:rsidRDefault="00000000">
            <w:r>
              <w:rPr>
                <w:sz w:val="20"/>
                <w:szCs w:val="20"/>
              </w:rPr>
              <w:t>Graph databases, Network analysis, ML clustering, Risk scoring models</w:t>
            </w:r>
          </w:p>
        </w:tc>
      </w:tr>
      <w:tr w:rsidR="00747EDF" w14:paraId="74D0D99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A20147A" w14:textId="77777777" w:rsidR="00747EDF" w:rsidRDefault="00000000">
            <w:r>
              <w:rPr>
                <w:sz w:val="20"/>
                <w:szCs w:val="20"/>
              </w:rPr>
              <w:t>Case Management &amp; Workflow</w:t>
            </w:r>
          </w:p>
        </w:tc>
        <w:tc>
          <w:tcPr>
            <w:tcW w:w="34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BBE49B1" w14:textId="77777777" w:rsidR="00747EDF" w:rsidRDefault="00000000">
            <w:r>
              <w:rPr>
                <w:sz w:val="20"/>
                <w:szCs w:val="20"/>
              </w:rPr>
              <w:t>End-to-end fraud case lifecycle; show cause notice generation; response tracking; adjudication workflow; escalation management</w:t>
            </w:r>
          </w:p>
        </w:tc>
        <w:tc>
          <w:tcPr>
            <w:tcW w:w="34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E1DB5B6" w14:textId="77777777" w:rsidR="00747EDF" w:rsidRDefault="00000000">
            <w:r>
              <w:rPr>
                <w:sz w:val="20"/>
                <w:szCs w:val="20"/>
              </w:rPr>
              <w:t>BPMN workflow engine, Role-based access, Audit trail</w:t>
            </w:r>
          </w:p>
        </w:tc>
      </w:tr>
      <w:tr w:rsidR="00747EDF" w14:paraId="10EC178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39355A" w14:textId="77777777" w:rsidR="00747EDF" w:rsidRDefault="00000000">
            <w:r>
              <w:rPr>
                <w:sz w:val="20"/>
                <w:szCs w:val="20"/>
              </w:rPr>
              <w:t>Regulatory Reporting Engine</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C084F4" w14:textId="77777777" w:rsidR="00747EDF" w:rsidRDefault="00000000">
            <w:r>
              <w:rPr>
                <w:sz w:val="20"/>
                <w:szCs w:val="20"/>
              </w:rPr>
              <w:t>Auto-generation of FMR returns; CRILC/RFA reporting; quarterly fraud summaries; board reporting dashboards</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B95483" w14:textId="77777777" w:rsidR="00747EDF" w:rsidRDefault="00000000">
            <w:r>
              <w:rPr>
                <w:sz w:val="20"/>
                <w:szCs w:val="20"/>
              </w:rPr>
              <w:t>Template engine, RBI API integration, Scheduled reports</w:t>
            </w:r>
          </w:p>
        </w:tc>
      </w:tr>
      <w:tr w:rsidR="00747EDF" w14:paraId="33204E8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C508710" w14:textId="77777777" w:rsidR="00747EDF" w:rsidRDefault="00000000">
            <w:r>
              <w:rPr>
                <w:sz w:val="20"/>
                <w:szCs w:val="20"/>
              </w:rPr>
              <w:t>Early Warning Signal (EWS) Module</w:t>
            </w:r>
          </w:p>
        </w:tc>
        <w:tc>
          <w:tcPr>
            <w:tcW w:w="34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85A60E8" w14:textId="77777777" w:rsidR="00747EDF" w:rsidRDefault="00000000">
            <w:r>
              <w:rPr>
                <w:sz w:val="20"/>
                <w:szCs w:val="20"/>
              </w:rPr>
              <w:t>Configurable EWS triggers; real-time monitoring of portfolio; alert generation; trend analysis</w:t>
            </w:r>
          </w:p>
        </w:tc>
        <w:tc>
          <w:tcPr>
            <w:tcW w:w="34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E4473EE" w14:textId="77777777" w:rsidR="00747EDF" w:rsidRDefault="00000000">
            <w:r>
              <w:rPr>
                <w:sz w:val="20"/>
                <w:szCs w:val="20"/>
              </w:rPr>
              <w:t>Event streaming, Rule engine, ML anomaly detection</w:t>
            </w:r>
          </w:p>
        </w:tc>
      </w:tr>
    </w:tbl>
    <w:p w14:paraId="79713515" w14:textId="77777777" w:rsidR="00747EDF" w:rsidRDefault="00747EDF">
      <w:pPr>
        <w:spacing w:after="200"/>
      </w:pPr>
    </w:p>
    <w:p w14:paraId="070E4EA2" w14:textId="77777777" w:rsidR="00747EDF" w:rsidRDefault="00000000">
      <w:pPr>
        <w:pStyle w:val="Heading2"/>
      </w:pPr>
      <w:bookmarkStart w:id="30" w:name="_Toc221626125"/>
      <w:r>
        <w:t>7.2 Integration Architecture</w:t>
      </w:r>
      <w:bookmarkEnd w:id="30"/>
    </w:p>
    <w:p w14:paraId="4AEB54D3" w14:textId="77777777" w:rsidR="00747EDF" w:rsidRDefault="00000000">
      <w:pPr>
        <w:spacing w:after="120" w:line="276" w:lineRule="auto"/>
      </w:pPr>
      <w:r>
        <w:t>The platform must integrate with the following external systems:</w:t>
      </w:r>
    </w:p>
    <w:p w14:paraId="4121F06E" w14:textId="77777777" w:rsidR="00747EDF" w:rsidRDefault="00000000">
      <w:pPr>
        <w:pStyle w:val="ListParagraph"/>
        <w:numPr>
          <w:ilvl w:val="0"/>
          <w:numId w:val="2"/>
        </w:numPr>
        <w:spacing w:after="80" w:line="276" w:lineRule="auto"/>
      </w:pPr>
      <w:r>
        <w:t>Credit Bureaus: CIBIL, Experian, CRIF, Equifax for bureau data and negative lists</w:t>
      </w:r>
    </w:p>
    <w:p w14:paraId="4E117444" w14:textId="77777777" w:rsidR="00747EDF" w:rsidRDefault="00000000">
      <w:pPr>
        <w:pStyle w:val="ListParagraph"/>
        <w:numPr>
          <w:ilvl w:val="0"/>
          <w:numId w:val="2"/>
        </w:numPr>
        <w:spacing w:after="80" w:line="276" w:lineRule="auto"/>
      </w:pPr>
      <w:r>
        <w:t>Government Databases: UIDAI (Aadhaar), NSDL/Protean (PAN), GST Network, MCA (ROC/company registry), CERSAI</w:t>
      </w:r>
    </w:p>
    <w:p w14:paraId="0EA63969" w14:textId="77777777" w:rsidR="00747EDF" w:rsidRDefault="00000000">
      <w:pPr>
        <w:pStyle w:val="ListParagraph"/>
        <w:numPr>
          <w:ilvl w:val="0"/>
          <w:numId w:val="2"/>
        </w:numPr>
        <w:spacing w:after="80" w:line="276" w:lineRule="auto"/>
      </w:pPr>
      <w:r>
        <w:t>Account Aggregator Framework: NBFC-AA integration for consent-based financial data access</w:t>
      </w:r>
    </w:p>
    <w:p w14:paraId="19F5296B" w14:textId="77777777" w:rsidR="00747EDF" w:rsidRDefault="00000000">
      <w:pPr>
        <w:pStyle w:val="ListParagraph"/>
        <w:numPr>
          <w:ilvl w:val="0"/>
          <w:numId w:val="2"/>
        </w:numPr>
        <w:spacing w:after="80" w:line="276" w:lineRule="auto"/>
      </w:pPr>
      <w:r>
        <w:t>Core Banking/LOS Systems: APIs for loan data, disbursement information, and borrower profiles</w:t>
      </w:r>
    </w:p>
    <w:p w14:paraId="6D42B127" w14:textId="77777777" w:rsidR="00747EDF" w:rsidRDefault="00000000">
      <w:pPr>
        <w:pStyle w:val="ListParagraph"/>
        <w:numPr>
          <w:ilvl w:val="0"/>
          <w:numId w:val="2"/>
        </w:numPr>
        <w:spacing w:after="80" w:line="276" w:lineRule="auto"/>
      </w:pPr>
      <w:r>
        <w:t>RBI Reporting Portals: Direct submission to FMR online portal and CRILC platform</w:t>
      </w:r>
    </w:p>
    <w:p w14:paraId="329329B8" w14:textId="77777777" w:rsidR="00747EDF" w:rsidRDefault="00000000">
      <w:pPr>
        <w:pStyle w:val="ListParagraph"/>
        <w:numPr>
          <w:ilvl w:val="0"/>
          <w:numId w:val="2"/>
        </w:numPr>
        <w:spacing w:after="80" w:line="276" w:lineRule="auto"/>
      </w:pPr>
      <w:r>
        <w:t>Court Record Databases: eCourts, NCLT, and district court records for litigation checks</w:t>
      </w:r>
    </w:p>
    <w:p w14:paraId="52B437C2" w14:textId="77777777" w:rsidR="00747EDF" w:rsidRDefault="00000000">
      <w:pPr>
        <w:pStyle w:val="ListParagraph"/>
        <w:numPr>
          <w:ilvl w:val="0"/>
          <w:numId w:val="2"/>
        </w:numPr>
        <w:spacing w:after="80" w:line="276" w:lineRule="auto"/>
      </w:pPr>
      <w:r>
        <w:t>Property Registries: State-level land record systems for title verification</w:t>
      </w:r>
    </w:p>
    <w:p w14:paraId="66CBE4FE" w14:textId="77777777" w:rsidR="00747EDF" w:rsidRDefault="00747EDF">
      <w:pPr>
        <w:spacing w:after="200"/>
      </w:pPr>
    </w:p>
    <w:p w14:paraId="371CC41C" w14:textId="77777777" w:rsidR="00747EDF" w:rsidRDefault="00000000">
      <w:pPr>
        <w:pStyle w:val="Heading2"/>
      </w:pPr>
      <w:bookmarkStart w:id="31" w:name="_Toc221626126"/>
      <w:r>
        <w:t>7.3 AI/ML Opportunity Areas</w:t>
      </w:r>
      <w:bookmarkEnd w:id="31"/>
    </w:p>
    <w:p w14:paraId="659C25DC" w14:textId="77777777" w:rsidR="00747EDF" w:rsidRDefault="00000000">
      <w:pPr>
        <w:spacing w:after="120" w:line="276" w:lineRule="auto"/>
      </w:pPr>
      <w:r>
        <w:t>Key areas where AI/ML creates significant competitive advantage:</w:t>
      </w:r>
    </w:p>
    <w:p w14:paraId="326551E6" w14:textId="77777777" w:rsidR="00747EDF" w:rsidRDefault="00000000">
      <w:pPr>
        <w:pStyle w:val="ListParagraph"/>
        <w:numPr>
          <w:ilvl w:val="0"/>
          <w:numId w:val="4"/>
        </w:numPr>
        <w:spacing w:after="80" w:line="276" w:lineRule="auto"/>
      </w:pPr>
      <w:r>
        <w:t>Document Forensics: Detecting pixel-level tampering in scanned documents, identifying copy-paste artifacts, verifying font consistency, and flagging synthetic documents created by generative AI.</w:t>
      </w:r>
    </w:p>
    <w:p w14:paraId="7403AA63" w14:textId="77777777" w:rsidR="00747EDF" w:rsidRDefault="00000000">
      <w:pPr>
        <w:pStyle w:val="ListParagraph"/>
        <w:numPr>
          <w:ilvl w:val="0"/>
          <w:numId w:val="4"/>
        </w:numPr>
        <w:spacing w:after="80" w:line="276" w:lineRule="auto"/>
      </w:pPr>
      <w:r>
        <w:t>Behavioral Analytics: Analyzing micro-cues during video verification (eye movement, gesture patterns, response timing) to identify coached or fraudulent applicants.</w:t>
      </w:r>
    </w:p>
    <w:p w14:paraId="4BAC7CE5" w14:textId="77777777" w:rsidR="00747EDF" w:rsidRDefault="00000000">
      <w:pPr>
        <w:pStyle w:val="ListParagraph"/>
        <w:numPr>
          <w:ilvl w:val="0"/>
          <w:numId w:val="4"/>
        </w:numPr>
        <w:spacing w:after="80" w:line="276" w:lineRule="auto"/>
      </w:pPr>
      <w:r>
        <w:t>Network/Syndicate Detection: Using graph analytics to identify connected fraud networks across seemingly unrelated loan applications (shared phone numbers, addresses, employers, or references).</w:t>
      </w:r>
    </w:p>
    <w:p w14:paraId="33402A72" w14:textId="77777777" w:rsidR="00747EDF" w:rsidRDefault="00000000">
      <w:pPr>
        <w:pStyle w:val="ListParagraph"/>
        <w:numPr>
          <w:ilvl w:val="0"/>
          <w:numId w:val="4"/>
        </w:numPr>
        <w:spacing w:after="80" w:line="276" w:lineRule="auto"/>
      </w:pPr>
      <w:r>
        <w:t>Predictive Risk Scoring: Building ML models that score incoming loan applications for fraud probability, enabling risk-based sampling instead of random sampling.</w:t>
      </w:r>
    </w:p>
    <w:p w14:paraId="3FA9154E" w14:textId="77777777" w:rsidR="00747EDF" w:rsidRDefault="00000000">
      <w:pPr>
        <w:pStyle w:val="ListParagraph"/>
        <w:numPr>
          <w:ilvl w:val="0"/>
          <w:numId w:val="4"/>
        </w:numPr>
        <w:spacing w:after="80" w:line="276" w:lineRule="auto"/>
      </w:pPr>
      <w:r>
        <w:t>NLP for Fraud Narrative Analysis: Processing investigation notes, customer responses, and complaint text to extract fraud indicators and classify modus operandi.</w:t>
      </w:r>
    </w:p>
    <w:p w14:paraId="54A32C86" w14:textId="77777777" w:rsidR="00747EDF" w:rsidRDefault="00747EDF">
      <w:pPr>
        <w:spacing w:after="200"/>
      </w:pPr>
    </w:p>
    <w:p w14:paraId="12EFECB2" w14:textId="77777777" w:rsidR="00747EDF" w:rsidRDefault="00000000">
      <w:pPr>
        <w:pStyle w:val="Heading1"/>
      </w:pPr>
      <w:bookmarkStart w:id="32" w:name="_Toc221626127"/>
      <w:r>
        <w:t>8. Buyer Personas &amp; Decision-Making</w:t>
      </w:r>
      <w:bookmarkEnd w:id="32"/>
    </w:p>
    <w:p w14:paraId="19581E3E" w14:textId="77777777" w:rsidR="00747EDF" w:rsidRDefault="00000000">
      <w:pPr>
        <w:pStyle w:val="Heading2"/>
      </w:pPr>
      <w:bookmarkStart w:id="33" w:name="_Toc221626128"/>
      <w:r>
        <w:t>8.1 Primary Buyer Personas</w:t>
      </w:r>
      <w:bookmarkEnd w:id="33"/>
    </w:p>
    <w:p w14:paraId="648CDF20" w14:textId="77777777" w:rsidR="00747EDF" w:rsidRDefault="00747EDF">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600"/>
        <w:gridCol w:w="3080"/>
        <w:gridCol w:w="3080"/>
      </w:tblGrid>
      <w:tr w:rsidR="00747EDF" w14:paraId="01440C3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0B58CE15" w14:textId="77777777" w:rsidR="00747EDF" w:rsidRDefault="00000000">
            <w:r>
              <w:rPr>
                <w:b/>
                <w:bCs/>
                <w:color w:val="FFFFFF"/>
                <w:sz w:val="20"/>
                <w:szCs w:val="20"/>
              </w:rPr>
              <w:t>Persona</w:t>
            </w:r>
          </w:p>
        </w:tc>
        <w:tc>
          <w:tcPr>
            <w:tcW w:w="16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68E6ADFB" w14:textId="77777777" w:rsidR="00747EDF" w:rsidRDefault="00000000">
            <w:r>
              <w:rPr>
                <w:b/>
                <w:bCs/>
                <w:color w:val="FFFFFF"/>
                <w:sz w:val="20"/>
                <w:szCs w:val="20"/>
              </w:rPr>
              <w:t>Title/Role</w:t>
            </w:r>
          </w:p>
        </w:tc>
        <w:tc>
          <w:tcPr>
            <w:tcW w:w="308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74AD526B" w14:textId="77777777" w:rsidR="00747EDF" w:rsidRDefault="00000000">
            <w:r>
              <w:rPr>
                <w:b/>
                <w:bCs/>
                <w:color w:val="FFFFFF"/>
                <w:sz w:val="20"/>
                <w:szCs w:val="20"/>
              </w:rPr>
              <w:t>Key Concerns</w:t>
            </w:r>
          </w:p>
        </w:tc>
        <w:tc>
          <w:tcPr>
            <w:tcW w:w="308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383FC3B7" w14:textId="77777777" w:rsidR="00747EDF" w:rsidRDefault="00000000">
            <w:r>
              <w:rPr>
                <w:b/>
                <w:bCs/>
                <w:color w:val="FFFFFF"/>
                <w:sz w:val="20"/>
                <w:szCs w:val="20"/>
              </w:rPr>
              <w:t>Decision Criteria</w:t>
            </w:r>
          </w:p>
        </w:tc>
      </w:tr>
      <w:tr w:rsidR="00747EDF" w14:paraId="72D2C98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9641F3" w14:textId="77777777" w:rsidR="00747EDF" w:rsidRDefault="00000000">
            <w:r>
              <w:rPr>
                <w:sz w:val="20"/>
                <w:szCs w:val="20"/>
              </w:rPr>
              <w:t>Chief Risk Officer (CRO)</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6CCD2F" w14:textId="77777777" w:rsidR="00747EDF" w:rsidRDefault="00000000">
            <w:r>
              <w:rPr>
                <w:sz w:val="20"/>
                <w:szCs w:val="20"/>
              </w:rPr>
              <w:t>Head of Risk Management at NBFC</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087B79" w14:textId="77777777" w:rsidR="00747EDF" w:rsidRDefault="00000000">
            <w:r>
              <w:rPr>
                <w:sz w:val="20"/>
                <w:szCs w:val="20"/>
              </w:rPr>
              <w:t>Portfolio quality, fraud loss reduction, regulatory compliance, board reporting</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75A8A0" w14:textId="77777777" w:rsidR="00747EDF" w:rsidRDefault="00000000">
            <w:r>
              <w:rPr>
                <w:sz w:val="20"/>
                <w:szCs w:val="20"/>
              </w:rPr>
              <w:t>Proven fraud detection rates, regulatory compliance features, ROI on fraud prevention</w:t>
            </w:r>
          </w:p>
        </w:tc>
      </w:tr>
      <w:tr w:rsidR="00747EDF" w14:paraId="2AB8B1B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B8A4438" w14:textId="77777777" w:rsidR="00747EDF" w:rsidRDefault="00000000">
            <w:r>
              <w:rPr>
                <w:sz w:val="20"/>
                <w:szCs w:val="20"/>
              </w:rPr>
              <w:t>VP/Head of Credit Operations</w:t>
            </w:r>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267DBB5" w14:textId="77777777" w:rsidR="00747EDF" w:rsidRDefault="00000000">
            <w:r>
              <w:rPr>
                <w:sz w:val="20"/>
                <w:szCs w:val="20"/>
              </w:rPr>
              <w:t>Manages loan origination and underwriting</w:t>
            </w:r>
          </w:p>
        </w:tc>
        <w:tc>
          <w:tcPr>
            <w:tcW w:w="30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5646D8C" w14:textId="77777777" w:rsidR="00747EDF" w:rsidRDefault="00000000">
            <w:r>
              <w:rPr>
                <w:sz w:val="20"/>
                <w:szCs w:val="20"/>
              </w:rPr>
              <w:t>TAT for verification, operational efficiency, integration with existing LOS</w:t>
            </w:r>
          </w:p>
        </w:tc>
        <w:tc>
          <w:tcPr>
            <w:tcW w:w="30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8CB4F93" w14:textId="77777777" w:rsidR="00747EDF" w:rsidRDefault="00000000">
            <w:r>
              <w:rPr>
                <w:sz w:val="20"/>
                <w:szCs w:val="20"/>
              </w:rPr>
              <w:t>Processing speed, system uptime, seamless LOS integration, volume handling</w:t>
            </w:r>
          </w:p>
        </w:tc>
      </w:tr>
      <w:tr w:rsidR="00747EDF" w14:paraId="1C3B70A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858D60" w14:textId="77777777" w:rsidR="00747EDF" w:rsidRDefault="00000000">
            <w:r>
              <w:rPr>
                <w:sz w:val="20"/>
                <w:szCs w:val="20"/>
              </w:rPr>
              <w:t>Head of RCU/FCU</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8D4696" w14:textId="77777777" w:rsidR="00747EDF" w:rsidRDefault="00000000">
            <w:r>
              <w:rPr>
                <w:sz w:val="20"/>
                <w:szCs w:val="20"/>
              </w:rPr>
              <w:t>Manages fraud investigation team</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D9B081" w14:textId="77777777" w:rsidR="00747EDF" w:rsidRDefault="00000000">
            <w:r>
              <w:rPr>
                <w:sz w:val="20"/>
                <w:szCs w:val="20"/>
              </w:rPr>
              <w:t>Investigation quality, field agency management, case resolution time</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54E754" w14:textId="77777777" w:rsidR="00747EDF" w:rsidRDefault="00000000">
            <w:r>
              <w:rPr>
                <w:sz w:val="20"/>
                <w:szCs w:val="20"/>
              </w:rPr>
              <w:t>Workflow flexibility, field investigation features, ease of use for investigators</w:t>
            </w:r>
          </w:p>
        </w:tc>
      </w:tr>
      <w:tr w:rsidR="00747EDF" w14:paraId="1BB295C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F5CDF01" w14:textId="77777777" w:rsidR="00747EDF" w:rsidRDefault="00000000">
            <w:r>
              <w:rPr>
                <w:sz w:val="20"/>
                <w:szCs w:val="20"/>
              </w:rPr>
              <w:t>Chief Compliance Officer (CCO)</w:t>
            </w:r>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8E3EF46" w14:textId="77777777" w:rsidR="00747EDF" w:rsidRDefault="00000000">
            <w:r>
              <w:rPr>
                <w:sz w:val="20"/>
                <w:szCs w:val="20"/>
              </w:rPr>
              <w:t>Ensures regulatory compliance</w:t>
            </w:r>
          </w:p>
        </w:tc>
        <w:tc>
          <w:tcPr>
            <w:tcW w:w="30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B5F15F6" w14:textId="77777777" w:rsidR="00747EDF" w:rsidRDefault="00000000">
            <w:r>
              <w:rPr>
                <w:sz w:val="20"/>
                <w:szCs w:val="20"/>
              </w:rPr>
              <w:t>FMR reporting accuracy, EWS implementation, audit readiness</w:t>
            </w:r>
          </w:p>
        </w:tc>
        <w:tc>
          <w:tcPr>
            <w:tcW w:w="30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9DA6DCA" w14:textId="77777777" w:rsidR="00747EDF" w:rsidRDefault="00000000">
            <w:r>
              <w:rPr>
                <w:sz w:val="20"/>
                <w:szCs w:val="20"/>
              </w:rPr>
              <w:t>Automated regulatory reporting, audit trail completeness, compliance dashboards</w:t>
            </w:r>
          </w:p>
        </w:tc>
      </w:tr>
      <w:tr w:rsidR="00747EDF" w14:paraId="591824C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27EFDF" w14:textId="77777777" w:rsidR="00747EDF" w:rsidRDefault="00000000">
            <w:r>
              <w:rPr>
                <w:sz w:val="20"/>
                <w:szCs w:val="20"/>
              </w:rPr>
              <w:t>CTO/CIO</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2A00EC" w14:textId="77777777" w:rsidR="00747EDF" w:rsidRDefault="00000000">
            <w:r>
              <w:rPr>
                <w:sz w:val="20"/>
                <w:szCs w:val="20"/>
              </w:rPr>
              <w:t>Technology and infrastructure decisions</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723F72" w14:textId="77777777" w:rsidR="00747EDF" w:rsidRDefault="00000000">
            <w:r>
              <w:rPr>
                <w:sz w:val="20"/>
                <w:szCs w:val="20"/>
              </w:rPr>
              <w:t>Data security, system integration, scalability, vendor reliability</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F8A67F" w14:textId="77777777" w:rsidR="00747EDF" w:rsidRDefault="00000000">
            <w:r>
              <w:rPr>
                <w:sz w:val="20"/>
                <w:szCs w:val="20"/>
              </w:rPr>
              <w:t>API architecture, cloud/on-prem options, infosec certifications, vendor track record</w:t>
            </w:r>
          </w:p>
        </w:tc>
      </w:tr>
    </w:tbl>
    <w:p w14:paraId="0E490EC4" w14:textId="77777777" w:rsidR="00747EDF" w:rsidRDefault="00747EDF">
      <w:pPr>
        <w:spacing w:after="200"/>
      </w:pPr>
    </w:p>
    <w:p w14:paraId="23C82875" w14:textId="77777777" w:rsidR="00747EDF" w:rsidRDefault="00000000">
      <w:pPr>
        <w:pStyle w:val="Heading2"/>
      </w:pPr>
      <w:bookmarkStart w:id="34" w:name="_Toc221626129"/>
      <w:r>
        <w:lastRenderedPageBreak/>
        <w:t>8.2 Buying Process</w:t>
      </w:r>
      <w:bookmarkEnd w:id="34"/>
    </w:p>
    <w:p w14:paraId="50C4CD45" w14:textId="77777777" w:rsidR="00747EDF" w:rsidRDefault="00000000">
      <w:pPr>
        <w:spacing w:after="120" w:line="276" w:lineRule="auto"/>
      </w:pPr>
      <w:r>
        <w:t>The typical buying cycle for an RCU platform in the NBFC sector involves:</w:t>
      </w:r>
    </w:p>
    <w:p w14:paraId="2903B5D2" w14:textId="77777777" w:rsidR="00747EDF" w:rsidRDefault="00000000">
      <w:pPr>
        <w:pStyle w:val="ListParagraph"/>
        <w:numPr>
          <w:ilvl w:val="0"/>
          <w:numId w:val="5"/>
        </w:numPr>
        <w:spacing w:after="80" w:line="276" w:lineRule="auto"/>
      </w:pPr>
      <w:r>
        <w:t>Pain Point Recognition: Usually triggered by a fraud incident, regulatory penalty, or audit observation (timeline: ongoing).</w:t>
      </w:r>
    </w:p>
    <w:p w14:paraId="0E630665" w14:textId="77777777" w:rsidR="00747EDF" w:rsidRDefault="00000000">
      <w:pPr>
        <w:pStyle w:val="ListParagraph"/>
        <w:numPr>
          <w:ilvl w:val="0"/>
          <w:numId w:val="5"/>
        </w:numPr>
        <w:spacing w:after="80" w:line="276" w:lineRule="auto"/>
      </w:pPr>
      <w:r>
        <w:t>Internal Assessment: RCU team documents current process gaps and presents to management (1–2 months).</w:t>
      </w:r>
    </w:p>
    <w:p w14:paraId="07F900A6" w14:textId="77777777" w:rsidR="00747EDF" w:rsidRDefault="00000000">
      <w:pPr>
        <w:pStyle w:val="ListParagraph"/>
        <w:numPr>
          <w:ilvl w:val="0"/>
          <w:numId w:val="5"/>
        </w:numPr>
        <w:spacing w:after="80" w:line="276" w:lineRule="auto"/>
      </w:pPr>
      <w:r>
        <w:t>Vendor Discovery: RFI/RFP issued, typically involving 3–5 shortlisted vendors (1–2 months).</w:t>
      </w:r>
    </w:p>
    <w:p w14:paraId="769A9D5E" w14:textId="77777777" w:rsidR="00747EDF" w:rsidRDefault="00000000">
      <w:pPr>
        <w:pStyle w:val="ListParagraph"/>
        <w:numPr>
          <w:ilvl w:val="0"/>
          <w:numId w:val="5"/>
        </w:numPr>
        <w:spacing w:after="80" w:line="276" w:lineRule="auto"/>
      </w:pPr>
      <w:r>
        <w:t>Proof of Concept: Selected vendors run pilot with sample loan files and live integrations (2–3 months).</w:t>
      </w:r>
    </w:p>
    <w:p w14:paraId="249420C7" w14:textId="77777777" w:rsidR="00747EDF" w:rsidRDefault="00000000">
      <w:pPr>
        <w:pStyle w:val="ListParagraph"/>
        <w:numPr>
          <w:ilvl w:val="0"/>
          <w:numId w:val="5"/>
        </w:numPr>
        <w:spacing w:after="80" w:line="276" w:lineRule="auto"/>
      </w:pPr>
      <w:r>
        <w:t>Procurement &amp; Compliance Review: Legal, infosec, and compliance team review (1–2 months).</w:t>
      </w:r>
    </w:p>
    <w:p w14:paraId="61BA2F0F" w14:textId="77777777" w:rsidR="00747EDF" w:rsidRDefault="00000000">
      <w:pPr>
        <w:pStyle w:val="ListParagraph"/>
        <w:numPr>
          <w:ilvl w:val="0"/>
          <w:numId w:val="5"/>
        </w:numPr>
        <w:spacing w:after="80" w:line="276" w:lineRule="auto"/>
      </w:pPr>
      <w:r>
        <w:t>Implementation &amp; Go-Live: Phased rollout, typically starting with one product line or branch cluster (2–4 months).</w:t>
      </w:r>
    </w:p>
    <w:p w14:paraId="3EAC3834" w14:textId="77777777" w:rsidR="00747EDF" w:rsidRDefault="00000000">
      <w:pPr>
        <w:spacing w:after="120" w:line="276" w:lineRule="auto"/>
      </w:pPr>
      <w:r>
        <w:t>Total sales cycle: 8–15 months for enterprise deals; 3–6 months for mid-market NBFCs.</w:t>
      </w:r>
    </w:p>
    <w:p w14:paraId="6FF4EFFD" w14:textId="77777777" w:rsidR="00747EDF" w:rsidRDefault="00747EDF">
      <w:pPr>
        <w:spacing w:after="200"/>
      </w:pPr>
    </w:p>
    <w:p w14:paraId="22A7B998" w14:textId="77777777" w:rsidR="00747EDF" w:rsidRDefault="00000000">
      <w:pPr>
        <w:pStyle w:val="Heading1"/>
      </w:pPr>
      <w:bookmarkStart w:id="35" w:name="_Toc221626130"/>
      <w:r>
        <w:t>9. Go-to-Market Strategy</w:t>
      </w:r>
      <w:bookmarkEnd w:id="35"/>
    </w:p>
    <w:p w14:paraId="1787B94A" w14:textId="77777777" w:rsidR="00747EDF" w:rsidRDefault="00000000">
      <w:pPr>
        <w:pStyle w:val="Heading2"/>
      </w:pPr>
      <w:bookmarkStart w:id="36" w:name="_Toc221626131"/>
      <w:r>
        <w:t>9.1 Positioning Statement</w:t>
      </w:r>
      <w:bookmarkEnd w:id="36"/>
    </w:p>
    <w:p w14:paraId="4CDC00C8" w14:textId="77777777" w:rsidR="00747EDF" w:rsidRDefault="00000000">
      <w:pPr>
        <w:spacing w:after="120" w:line="276" w:lineRule="auto"/>
      </w:pPr>
      <w:r>
        <w:t>For Indian NBFCs and financial institutions that need to prevent, detect, and investigate loan fraud while meeting RBI’s stringent compliance requirements, [Platform Name] is the only end-to-end RCU investigation platform that combines AI-powered document forensics, field investigation management, fraud analytics, and automated regulatory reporting in a single unified system — replacing the fragmented patchwork of point solutions, manual processes, and paper-based field agencies that dominate today’s market.</w:t>
      </w:r>
    </w:p>
    <w:p w14:paraId="2F16DBA3" w14:textId="77777777" w:rsidR="00747EDF" w:rsidRDefault="00000000">
      <w:pPr>
        <w:pStyle w:val="Heading2"/>
      </w:pPr>
      <w:bookmarkStart w:id="37" w:name="_Toc221626132"/>
      <w:r>
        <w:t>9.2 Target Segmentation &amp; Phased Approach</w:t>
      </w:r>
      <w:bookmarkEnd w:id="37"/>
    </w:p>
    <w:p w14:paraId="1AF4D409" w14:textId="77777777" w:rsidR="00747EDF" w:rsidRDefault="00747EDF">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200"/>
        <w:gridCol w:w="3660"/>
        <w:gridCol w:w="2000"/>
      </w:tblGrid>
      <w:tr w:rsidR="00747EDF" w14:paraId="07F3597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3D770C40" w14:textId="77777777" w:rsidR="00747EDF" w:rsidRDefault="00000000">
            <w:r>
              <w:rPr>
                <w:b/>
                <w:bCs/>
                <w:color w:val="FFFFFF"/>
                <w:sz w:val="20"/>
                <w:szCs w:val="20"/>
              </w:rPr>
              <w:t>Phase</w:t>
            </w:r>
          </w:p>
        </w:tc>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1B1DC8D2" w14:textId="77777777" w:rsidR="00747EDF" w:rsidRDefault="00000000">
            <w:r>
              <w:rPr>
                <w:b/>
                <w:bCs/>
                <w:color w:val="FFFFFF"/>
                <w:sz w:val="20"/>
                <w:szCs w:val="20"/>
              </w:rPr>
              <w:t>Target Segment</w:t>
            </w:r>
          </w:p>
        </w:tc>
        <w:tc>
          <w:tcPr>
            <w:tcW w:w="36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60ADE466" w14:textId="77777777" w:rsidR="00747EDF" w:rsidRDefault="00000000">
            <w:r>
              <w:rPr>
                <w:b/>
                <w:bCs/>
                <w:color w:val="FFFFFF"/>
                <w:sz w:val="20"/>
                <w:szCs w:val="20"/>
              </w:rPr>
              <w:t>Strategy</w:t>
            </w:r>
          </w:p>
        </w:tc>
        <w:tc>
          <w:tcPr>
            <w:tcW w:w="20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0A1FFB2B" w14:textId="77777777" w:rsidR="00747EDF" w:rsidRDefault="00000000">
            <w:r>
              <w:rPr>
                <w:b/>
                <w:bCs/>
                <w:color w:val="FFFFFF"/>
                <w:sz w:val="20"/>
                <w:szCs w:val="20"/>
              </w:rPr>
              <w:t>Timeline</w:t>
            </w:r>
          </w:p>
        </w:tc>
      </w:tr>
      <w:tr w:rsidR="00747EDF" w14:paraId="4A23FD6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BD0B72" w14:textId="77777777" w:rsidR="00747EDF" w:rsidRDefault="00000000">
            <w:r>
              <w:rPr>
                <w:sz w:val="20"/>
                <w:szCs w:val="20"/>
              </w:rPr>
              <w:t>Phase 1: Beachhead</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6CD1A1" w14:textId="77777777" w:rsidR="00747EDF" w:rsidRDefault="00000000">
            <w:r>
              <w:rPr>
                <w:sz w:val="20"/>
                <w:szCs w:val="20"/>
              </w:rPr>
              <w:t>Mid-size NBFCs (Upper &amp; Middle Layer, ₹1,000–10,000 Cr AUM)</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B2F6B1" w14:textId="77777777" w:rsidR="00747EDF" w:rsidRDefault="00000000">
            <w:r>
              <w:rPr>
                <w:sz w:val="20"/>
                <w:szCs w:val="20"/>
              </w:rPr>
              <w:t>Land with document verification + field investigation modules; expand to full platform. Target 15–20 clients.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AE98AD" w14:textId="77777777" w:rsidR="00747EDF" w:rsidRDefault="00000000">
            <w:r>
              <w:rPr>
                <w:sz w:val="20"/>
                <w:szCs w:val="20"/>
              </w:rPr>
              <w:t>Months 1–12</w:t>
            </w:r>
          </w:p>
        </w:tc>
      </w:tr>
      <w:tr w:rsidR="00747EDF" w14:paraId="5F6FD2D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1BDB0CF" w14:textId="77777777" w:rsidR="00747EDF" w:rsidRDefault="00000000">
            <w:r>
              <w:rPr>
                <w:sz w:val="20"/>
                <w:szCs w:val="20"/>
              </w:rPr>
              <w:t>Phase 2: Expand</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534E538" w14:textId="77777777" w:rsidR="00747EDF" w:rsidRDefault="00000000">
            <w:r>
              <w:rPr>
                <w:sz w:val="20"/>
                <w:szCs w:val="20"/>
              </w:rPr>
              <w:t>Large NBFCs (₹10,000+ Cr AUM) and HFCs</w:t>
            </w:r>
          </w:p>
        </w:tc>
        <w:tc>
          <w:tcPr>
            <w:tcW w:w="36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94A5E07" w14:textId="77777777" w:rsidR="00747EDF" w:rsidRDefault="00000000">
            <w:r>
              <w:rPr>
                <w:sz w:val="20"/>
                <w:szCs w:val="20"/>
              </w:rPr>
              <w:t>Enterprise offering with full case management, EWS, and regulatory reporting. Target 10–15 enterprise clients.</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505ED5C" w14:textId="77777777" w:rsidR="00747EDF" w:rsidRDefault="00000000">
            <w:r>
              <w:rPr>
                <w:sz w:val="20"/>
                <w:szCs w:val="20"/>
              </w:rPr>
              <w:t>Months 12–24</w:t>
            </w:r>
          </w:p>
        </w:tc>
      </w:tr>
      <w:tr w:rsidR="00747EDF" w14:paraId="5ED51DD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F76115" w14:textId="77777777" w:rsidR="00747EDF" w:rsidRDefault="00000000">
            <w:r>
              <w:rPr>
                <w:sz w:val="20"/>
                <w:szCs w:val="20"/>
              </w:rPr>
              <w:lastRenderedPageBreak/>
              <w:t>Phase 3: Scale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545592" w14:textId="77777777" w:rsidR="00747EDF" w:rsidRDefault="00000000">
            <w:r>
              <w:rPr>
                <w:sz w:val="20"/>
                <w:szCs w:val="20"/>
              </w:rPr>
              <w:t>Private Sector Banks, SFBs, and co-lending partners</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638DF1" w14:textId="77777777" w:rsidR="00747EDF" w:rsidRDefault="00000000">
            <w:r>
              <w:rPr>
                <w:sz w:val="20"/>
                <w:szCs w:val="20"/>
              </w:rPr>
              <w:t>Bank-grade platform with consortium fraud intelligence sharing. Integrate with co-lending ecosystem.</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493077" w14:textId="77777777" w:rsidR="00747EDF" w:rsidRDefault="00000000">
            <w:r>
              <w:rPr>
                <w:sz w:val="20"/>
                <w:szCs w:val="20"/>
              </w:rPr>
              <w:t>Months 24–36</w:t>
            </w:r>
          </w:p>
        </w:tc>
      </w:tr>
      <w:tr w:rsidR="00747EDF" w14:paraId="5552C23D"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0E7C948" w14:textId="77777777" w:rsidR="00747EDF" w:rsidRDefault="00000000">
            <w:r>
              <w:rPr>
                <w:sz w:val="20"/>
                <w:szCs w:val="20"/>
              </w:rPr>
              <w:t>Phase 4: Ecosystem</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7219DC2" w14:textId="77777777" w:rsidR="00747EDF" w:rsidRDefault="00000000">
            <w:r>
              <w:rPr>
                <w:sz w:val="20"/>
                <w:szCs w:val="20"/>
              </w:rPr>
              <w:t>All NBFCs + Fintechs via partner/LSP channel</w:t>
            </w:r>
          </w:p>
        </w:tc>
        <w:tc>
          <w:tcPr>
            <w:tcW w:w="36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FADE3B4" w14:textId="77777777" w:rsidR="00747EDF" w:rsidRDefault="00000000">
            <w:r>
              <w:rPr>
                <w:sz w:val="20"/>
                <w:szCs w:val="20"/>
              </w:rPr>
              <w:t>SaaS marketplace model; API-first for embedded RCU; white-label for LOS providers.</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D05747C" w14:textId="77777777" w:rsidR="00747EDF" w:rsidRDefault="00000000">
            <w:r>
              <w:rPr>
                <w:sz w:val="20"/>
                <w:szCs w:val="20"/>
              </w:rPr>
              <w:t>Months 36+</w:t>
            </w:r>
          </w:p>
        </w:tc>
      </w:tr>
    </w:tbl>
    <w:p w14:paraId="62F28E7A" w14:textId="77777777" w:rsidR="00747EDF" w:rsidRDefault="00747EDF">
      <w:pPr>
        <w:spacing w:after="200"/>
      </w:pPr>
    </w:p>
    <w:p w14:paraId="0E50C2E1" w14:textId="77777777" w:rsidR="00747EDF" w:rsidRDefault="00000000">
      <w:pPr>
        <w:pStyle w:val="Heading2"/>
      </w:pPr>
      <w:bookmarkStart w:id="38" w:name="_Toc221626133"/>
      <w:r>
        <w:t>9.3 Distribution Channels</w:t>
      </w:r>
      <w:bookmarkEnd w:id="38"/>
    </w:p>
    <w:p w14:paraId="4B50DC13" w14:textId="77777777" w:rsidR="00747EDF" w:rsidRDefault="00000000">
      <w:pPr>
        <w:pStyle w:val="ListParagraph"/>
        <w:numPr>
          <w:ilvl w:val="0"/>
          <w:numId w:val="2"/>
        </w:numPr>
        <w:spacing w:after="80" w:line="276" w:lineRule="auto"/>
      </w:pPr>
      <w:r>
        <w:t>Direct Sales: Enterprise sales team targeting CROs and Heads of RCU at top 200 NBFCs.</w:t>
      </w:r>
    </w:p>
    <w:p w14:paraId="7817906D" w14:textId="77777777" w:rsidR="00747EDF" w:rsidRDefault="00000000">
      <w:pPr>
        <w:pStyle w:val="ListParagraph"/>
        <w:numPr>
          <w:ilvl w:val="0"/>
          <w:numId w:val="2"/>
        </w:numPr>
        <w:spacing w:after="80" w:line="276" w:lineRule="auto"/>
      </w:pPr>
      <w:r>
        <w:t>LOS/Core Banking Partnerships: Integration partnerships with Perfios InteGREAT, Lentra, ScoreMe, and Newgen to offer RCU as a pre-integrated module within their loan origination workflows.</w:t>
      </w:r>
    </w:p>
    <w:p w14:paraId="3B0CA966" w14:textId="77777777" w:rsidR="00747EDF" w:rsidRDefault="00000000">
      <w:pPr>
        <w:pStyle w:val="ListParagraph"/>
        <w:numPr>
          <w:ilvl w:val="0"/>
          <w:numId w:val="2"/>
        </w:numPr>
        <w:spacing w:after="80" w:line="276" w:lineRule="auto"/>
      </w:pPr>
      <w:r>
        <w:t>Industry Body Engagement: Active participation in FIDC (Finance Industry Development Council), MFIN (Microfinance Institutions Network), and DLAI (Digital Lenders Association of India).</w:t>
      </w:r>
    </w:p>
    <w:p w14:paraId="6FCB7502" w14:textId="77777777" w:rsidR="00747EDF" w:rsidRDefault="00000000">
      <w:pPr>
        <w:pStyle w:val="ListParagraph"/>
        <w:numPr>
          <w:ilvl w:val="0"/>
          <w:numId w:val="2"/>
        </w:numPr>
        <w:spacing w:after="80" w:line="276" w:lineRule="auto"/>
      </w:pPr>
      <w:r>
        <w:t>RBI Compliance Events: Speaking slots and sponsorships at regulatory compliance conferences where CROs and CCOs gather.</w:t>
      </w:r>
    </w:p>
    <w:p w14:paraId="6B54CE73" w14:textId="77777777" w:rsidR="00747EDF" w:rsidRDefault="00000000">
      <w:pPr>
        <w:pStyle w:val="ListParagraph"/>
        <w:numPr>
          <w:ilvl w:val="0"/>
          <w:numId w:val="2"/>
        </w:numPr>
        <w:spacing w:after="80" w:line="276" w:lineRule="auto"/>
      </w:pPr>
      <w:r>
        <w:t>Channel Partners: Partnerships with existing field investigation agencies (Millow, Bonafide BPO, etc.) to offer a technology-enhanced service model rather than competing directly.</w:t>
      </w:r>
    </w:p>
    <w:p w14:paraId="2F811461" w14:textId="77777777" w:rsidR="00747EDF" w:rsidRDefault="00747EDF">
      <w:pPr>
        <w:spacing w:after="200"/>
      </w:pPr>
    </w:p>
    <w:p w14:paraId="05F797CC" w14:textId="77777777" w:rsidR="00747EDF" w:rsidRDefault="00000000">
      <w:pPr>
        <w:pStyle w:val="Heading2"/>
      </w:pPr>
      <w:bookmarkStart w:id="39" w:name="_Toc221626134"/>
      <w:r>
        <w:t>9.4 Key Differentiators to Emphasize</w:t>
      </w:r>
      <w:bookmarkEnd w:id="39"/>
    </w:p>
    <w:p w14:paraId="06871653" w14:textId="77777777" w:rsidR="00747EDF" w:rsidRDefault="00000000">
      <w:pPr>
        <w:pStyle w:val="ListParagraph"/>
        <w:numPr>
          <w:ilvl w:val="0"/>
          <w:numId w:val="6"/>
        </w:numPr>
        <w:spacing w:after="80" w:line="276" w:lineRule="auto"/>
      </w:pPr>
      <w:r>
        <w:t>End-to-End Coverage: Only platform covering the full RCU lifecycle from document sampling to regulatory reporting, unlike point solutions that handle just one piece.</w:t>
      </w:r>
    </w:p>
    <w:p w14:paraId="07701DE3" w14:textId="77777777" w:rsidR="00747EDF" w:rsidRDefault="00000000">
      <w:pPr>
        <w:pStyle w:val="ListParagraph"/>
        <w:numPr>
          <w:ilvl w:val="0"/>
          <w:numId w:val="6"/>
        </w:numPr>
        <w:spacing w:after="80" w:line="276" w:lineRule="auto"/>
      </w:pPr>
      <w:r>
        <w:t>Field Investigation + Digital in One Platform: Unified view of both digital verification results and physical field investigation outcomes.</w:t>
      </w:r>
    </w:p>
    <w:p w14:paraId="733735A0" w14:textId="77777777" w:rsidR="00747EDF" w:rsidRDefault="00000000">
      <w:pPr>
        <w:pStyle w:val="ListParagraph"/>
        <w:numPr>
          <w:ilvl w:val="0"/>
          <w:numId w:val="6"/>
        </w:numPr>
        <w:spacing w:after="80" w:line="276" w:lineRule="auto"/>
      </w:pPr>
      <w:r>
        <w:t>RBI FRM Compliance Built-In: Pre-configured workflows for the July 2024 Master Directions, including EWS framework, natural justice process, and FMR auto-generation.</w:t>
      </w:r>
    </w:p>
    <w:p w14:paraId="281122C1" w14:textId="77777777" w:rsidR="00747EDF" w:rsidRDefault="00000000">
      <w:pPr>
        <w:pStyle w:val="ListParagraph"/>
        <w:numPr>
          <w:ilvl w:val="0"/>
          <w:numId w:val="6"/>
        </w:numPr>
        <w:spacing w:after="80" w:line="276" w:lineRule="auto"/>
      </w:pPr>
      <w:r>
        <w:t>AI-Powered Document Forensics: Detection of deepfake documents, generative AI-created salary slips, and pixel-level tampering that human samplers miss.</w:t>
      </w:r>
    </w:p>
    <w:p w14:paraId="346F01AF" w14:textId="77777777" w:rsidR="00747EDF" w:rsidRDefault="00000000">
      <w:pPr>
        <w:pStyle w:val="ListParagraph"/>
        <w:numPr>
          <w:ilvl w:val="0"/>
          <w:numId w:val="6"/>
        </w:numPr>
        <w:spacing w:after="80" w:line="276" w:lineRule="auto"/>
      </w:pPr>
      <w:r>
        <w:t>Fraud Intelligence Network: Cross-institution fraud intelligence sharing (with consent) to identify syndicate operations across multiple lenders.</w:t>
      </w:r>
    </w:p>
    <w:p w14:paraId="21A05990" w14:textId="77777777" w:rsidR="00747EDF" w:rsidRDefault="00747EDF">
      <w:pPr>
        <w:spacing w:after="200"/>
      </w:pPr>
    </w:p>
    <w:p w14:paraId="1F98ABA0" w14:textId="77777777" w:rsidR="00747EDF" w:rsidRDefault="00000000">
      <w:pPr>
        <w:pStyle w:val="Heading1"/>
      </w:pPr>
      <w:bookmarkStart w:id="40" w:name="_Toc221626135"/>
      <w:r>
        <w:t>10. Key Risks &amp; Mitigation</w:t>
      </w:r>
      <w:bookmarkEnd w:id="40"/>
    </w:p>
    <w:p w14:paraId="3EFCE973" w14:textId="77777777" w:rsidR="00747EDF" w:rsidRDefault="00747EDF">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200"/>
        <w:gridCol w:w="5160"/>
      </w:tblGrid>
      <w:tr w:rsidR="00747EDF" w14:paraId="0B2D339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0794AFD5" w14:textId="77777777" w:rsidR="00747EDF" w:rsidRDefault="00000000">
            <w:r>
              <w:rPr>
                <w:b/>
                <w:bCs/>
                <w:color w:val="FFFFFF"/>
                <w:sz w:val="20"/>
                <w:szCs w:val="20"/>
              </w:rPr>
              <w:lastRenderedPageBreak/>
              <w:t>Risk</w:t>
            </w:r>
          </w:p>
        </w:tc>
        <w:tc>
          <w:tcPr>
            <w:tcW w:w="1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6E2A23B1" w14:textId="77777777" w:rsidR="00747EDF" w:rsidRDefault="00000000">
            <w:r>
              <w:rPr>
                <w:b/>
                <w:bCs/>
                <w:color w:val="FFFFFF"/>
                <w:sz w:val="20"/>
                <w:szCs w:val="20"/>
              </w:rPr>
              <w:t>Severity</w:t>
            </w:r>
          </w:p>
        </w:tc>
        <w:tc>
          <w:tcPr>
            <w:tcW w:w="51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61A828AC" w14:textId="77777777" w:rsidR="00747EDF" w:rsidRDefault="00000000">
            <w:r>
              <w:rPr>
                <w:b/>
                <w:bCs/>
                <w:color w:val="FFFFFF"/>
                <w:sz w:val="20"/>
                <w:szCs w:val="20"/>
              </w:rPr>
              <w:t>Mitigation Strategy</w:t>
            </w:r>
          </w:p>
        </w:tc>
      </w:tr>
      <w:tr w:rsidR="00747EDF" w14:paraId="4989D0C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1FF66C" w14:textId="77777777" w:rsidR="00747EDF" w:rsidRDefault="00000000">
            <w:r>
              <w:rPr>
                <w:sz w:val="20"/>
                <w:szCs w:val="20"/>
              </w:rPr>
              <w:t>Slow NBFC adoption due to budget constraints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3D88A4" w14:textId="77777777" w:rsidR="00747EDF" w:rsidRDefault="00000000">
            <w:r>
              <w:rPr>
                <w:sz w:val="20"/>
                <w:szCs w:val="20"/>
              </w:rPr>
              <w:t>High</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AFDBA2" w14:textId="77777777" w:rsidR="00747EDF" w:rsidRDefault="00000000">
            <w:r>
              <w:rPr>
                <w:sz w:val="20"/>
                <w:szCs w:val="20"/>
              </w:rPr>
              <w:t>Offer modular pricing; start with high-ROI modules (document verification); demonstrate fraud loss savings</w:t>
            </w:r>
          </w:p>
        </w:tc>
      </w:tr>
      <w:tr w:rsidR="00747EDF" w14:paraId="67C0CE4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71C71CF" w14:textId="77777777" w:rsidR="00747EDF" w:rsidRDefault="00000000">
            <w:r>
              <w:rPr>
                <w:sz w:val="20"/>
                <w:szCs w:val="20"/>
              </w:rPr>
              <w:t>Incumbent LOS players adding RCU features</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946FF85" w14:textId="77777777" w:rsidR="00747EDF" w:rsidRDefault="00000000">
            <w:r>
              <w:rPr>
                <w:sz w:val="20"/>
                <w:szCs w:val="20"/>
              </w:rPr>
              <w:t>High</w:t>
            </w:r>
          </w:p>
        </w:tc>
        <w:tc>
          <w:tcPr>
            <w:tcW w:w="5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3C56BAF" w14:textId="77777777" w:rsidR="00747EDF" w:rsidRDefault="00000000">
            <w:r>
              <w:rPr>
                <w:sz w:val="20"/>
                <w:szCs w:val="20"/>
              </w:rPr>
              <w:t>Move faster on investigation-specific features; build deep domain expertise that LOS players lack; pursue integration partnerships</w:t>
            </w:r>
          </w:p>
        </w:tc>
      </w:tr>
      <w:tr w:rsidR="00747EDF" w14:paraId="6DCD5D6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B71C83" w14:textId="77777777" w:rsidR="00747EDF" w:rsidRDefault="00000000">
            <w:r>
              <w:rPr>
                <w:sz w:val="20"/>
                <w:szCs w:val="20"/>
              </w:rPr>
              <w:t>Regulatory changes affecting platform design</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CDC4CE" w14:textId="77777777" w:rsidR="00747EDF" w:rsidRDefault="00000000">
            <w:r>
              <w:rPr>
                <w:sz w:val="20"/>
                <w:szCs w:val="20"/>
              </w:rPr>
              <w:t>Medium</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03C5F0" w14:textId="77777777" w:rsidR="00747EDF" w:rsidRDefault="00000000">
            <w:r>
              <w:rPr>
                <w:sz w:val="20"/>
                <w:szCs w:val="20"/>
              </w:rPr>
              <w:t>Maintain regulatory advisory board; build configurable rule engines; invest in rapid compliance update cycles</w:t>
            </w:r>
          </w:p>
        </w:tc>
      </w:tr>
      <w:tr w:rsidR="00747EDF" w14:paraId="38E0DE6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A84403B" w14:textId="77777777" w:rsidR="00747EDF" w:rsidRDefault="00000000">
            <w:r>
              <w:rPr>
                <w:sz w:val="20"/>
                <w:szCs w:val="20"/>
              </w:rPr>
              <w:t>Data privacy/DPDP compliance challenges</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EA10A26" w14:textId="77777777" w:rsidR="00747EDF" w:rsidRDefault="00000000">
            <w:r>
              <w:rPr>
                <w:sz w:val="20"/>
                <w:szCs w:val="20"/>
              </w:rPr>
              <w:t>Medium</w:t>
            </w:r>
          </w:p>
        </w:tc>
        <w:tc>
          <w:tcPr>
            <w:tcW w:w="5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30F313E" w14:textId="77777777" w:rsidR="00747EDF" w:rsidRDefault="00000000">
            <w:r>
              <w:rPr>
                <w:sz w:val="20"/>
                <w:szCs w:val="20"/>
              </w:rPr>
              <w:t>Build privacy-by-design architecture; obtain relevant certifications (ISO 27001, SOC 2); conduct regular audits</w:t>
            </w:r>
          </w:p>
        </w:tc>
      </w:tr>
      <w:tr w:rsidR="00747EDF" w14:paraId="1640EE5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C10F2E" w14:textId="77777777" w:rsidR="00747EDF" w:rsidRDefault="00000000">
            <w:r>
              <w:rPr>
                <w:sz w:val="20"/>
                <w:szCs w:val="20"/>
              </w:rPr>
              <w:t>Field investigation agency resistance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70118D" w14:textId="77777777" w:rsidR="00747EDF" w:rsidRDefault="00000000">
            <w:r>
              <w:rPr>
                <w:sz w:val="20"/>
                <w:szCs w:val="20"/>
              </w:rPr>
              <w:t>Medium</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5E571E" w14:textId="77777777" w:rsidR="00747EDF" w:rsidRDefault="00000000">
            <w:r>
              <w:rPr>
                <w:sz w:val="20"/>
                <w:szCs w:val="20"/>
              </w:rPr>
              <w:t>Position as technology enablement partner rather than replacement; offer white-label tools for agencies</w:t>
            </w:r>
          </w:p>
        </w:tc>
      </w:tr>
      <w:tr w:rsidR="00747EDF" w14:paraId="1E4FC46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40474A4" w14:textId="77777777" w:rsidR="00747EDF" w:rsidRDefault="00000000">
            <w:r>
              <w:rPr>
                <w:sz w:val="20"/>
                <w:szCs w:val="20"/>
              </w:rPr>
              <w:t>Deepfake/AI-generated document evolution</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9FBAD24" w14:textId="77777777" w:rsidR="00747EDF" w:rsidRDefault="00000000">
            <w:r>
              <w:rPr>
                <w:sz w:val="20"/>
                <w:szCs w:val="20"/>
              </w:rPr>
              <w:t>Medium</w:t>
            </w:r>
          </w:p>
        </w:tc>
        <w:tc>
          <w:tcPr>
            <w:tcW w:w="5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72E17B1" w14:textId="77777777" w:rsidR="00747EDF" w:rsidRDefault="00000000">
            <w:r>
              <w:rPr>
                <w:sz w:val="20"/>
                <w:szCs w:val="20"/>
              </w:rPr>
              <w:t>Continuous R&amp;D investment in adversarial AI detection; maintain training data pipeline from actual fraud cases</w:t>
            </w:r>
          </w:p>
        </w:tc>
      </w:tr>
    </w:tbl>
    <w:p w14:paraId="752F95B6" w14:textId="77777777" w:rsidR="00747EDF" w:rsidRDefault="00747EDF">
      <w:pPr>
        <w:spacing w:after="200"/>
      </w:pPr>
    </w:p>
    <w:p w14:paraId="3D8F5A95" w14:textId="77777777" w:rsidR="00747EDF" w:rsidRDefault="00000000">
      <w:pPr>
        <w:pStyle w:val="Heading1"/>
      </w:pPr>
      <w:bookmarkStart w:id="41" w:name="_Toc221626136"/>
      <w:r>
        <w:t>11. Illustrative Financial Projections</w:t>
      </w:r>
      <w:bookmarkEnd w:id="41"/>
    </w:p>
    <w:p w14:paraId="3F92DC86" w14:textId="77777777" w:rsidR="00747EDF" w:rsidRDefault="00000000">
      <w:pPr>
        <w:spacing w:after="120" w:line="276" w:lineRule="auto"/>
      </w:pPr>
      <w:r>
        <w:t>Based on market sizing and competitive analysis, the following illustrative revenue projections assume a phased go-to-market approach with SaaS pricing:</w:t>
      </w:r>
    </w:p>
    <w:p w14:paraId="0022C4B8" w14:textId="77777777" w:rsidR="00747EDF" w:rsidRDefault="00747EDF">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740"/>
        <w:gridCol w:w="1740"/>
        <w:gridCol w:w="1740"/>
        <w:gridCol w:w="1740"/>
      </w:tblGrid>
      <w:tr w:rsidR="00747EDF" w14:paraId="02CB931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50E1779F" w14:textId="77777777" w:rsidR="00747EDF" w:rsidRDefault="00000000">
            <w:r>
              <w:rPr>
                <w:b/>
                <w:bCs/>
                <w:color w:val="FFFFFF"/>
                <w:sz w:val="20"/>
                <w:szCs w:val="20"/>
              </w:rPr>
              <w:t>Metric</w:t>
            </w:r>
          </w:p>
        </w:tc>
        <w:tc>
          <w:tcPr>
            <w:tcW w:w="174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74B6F21D" w14:textId="77777777" w:rsidR="00747EDF" w:rsidRDefault="00000000">
            <w:r>
              <w:rPr>
                <w:b/>
                <w:bCs/>
                <w:color w:val="FFFFFF"/>
                <w:sz w:val="20"/>
                <w:szCs w:val="20"/>
              </w:rPr>
              <w:t>Year 1</w:t>
            </w:r>
          </w:p>
        </w:tc>
        <w:tc>
          <w:tcPr>
            <w:tcW w:w="174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29734B95" w14:textId="77777777" w:rsidR="00747EDF" w:rsidRDefault="00000000">
            <w:r>
              <w:rPr>
                <w:b/>
                <w:bCs/>
                <w:color w:val="FFFFFF"/>
                <w:sz w:val="20"/>
                <w:szCs w:val="20"/>
              </w:rPr>
              <w:t>Year 2</w:t>
            </w:r>
          </w:p>
        </w:tc>
        <w:tc>
          <w:tcPr>
            <w:tcW w:w="174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47274F25" w14:textId="77777777" w:rsidR="00747EDF" w:rsidRDefault="00000000">
            <w:r>
              <w:rPr>
                <w:b/>
                <w:bCs/>
                <w:color w:val="FFFFFF"/>
                <w:sz w:val="20"/>
                <w:szCs w:val="20"/>
              </w:rPr>
              <w:t>Year 3</w:t>
            </w:r>
          </w:p>
        </w:tc>
        <w:tc>
          <w:tcPr>
            <w:tcW w:w="174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4A142B3D" w14:textId="77777777" w:rsidR="00747EDF" w:rsidRDefault="00000000">
            <w:r>
              <w:rPr>
                <w:b/>
                <w:bCs/>
                <w:color w:val="FFFFFF"/>
                <w:sz w:val="20"/>
                <w:szCs w:val="20"/>
              </w:rPr>
              <w:t>Year 4</w:t>
            </w:r>
          </w:p>
        </w:tc>
      </w:tr>
      <w:tr w:rsidR="00747EDF" w14:paraId="7016771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D76BBE" w14:textId="77777777" w:rsidR="00747EDF" w:rsidRDefault="00000000">
            <w:r>
              <w:rPr>
                <w:sz w:val="20"/>
                <w:szCs w:val="20"/>
              </w:rPr>
              <w:t>NBFC Clients</w:t>
            </w:r>
          </w:p>
        </w:tc>
        <w:tc>
          <w:tcPr>
            <w:tcW w:w="17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4D3850" w14:textId="77777777" w:rsidR="00747EDF" w:rsidRDefault="00000000">
            <w:r>
              <w:rPr>
                <w:sz w:val="20"/>
                <w:szCs w:val="20"/>
              </w:rPr>
              <w:t>12–18</w:t>
            </w:r>
          </w:p>
        </w:tc>
        <w:tc>
          <w:tcPr>
            <w:tcW w:w="17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7608D7" w14:textId="77777777" w:rsidR="00747EDF" w:rsidRDefault="00000000">
            <w:r>
              <w:rPr>
                <w:sz w:val="20"/>
                <w:szCs w:val="20"/>
              </w:rPr>
              <w:t>30–45</w:t>
            </w:r>
          </w:p>
        </w:tc>
        <w:tc>
          <w:tcPr>
            <w:tcW w:w="17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3DE74A" w14:textId="77777777" w:rsidR="00747EDF" w:rsidRDefault="00000000">
            <w:r>
              <w:rPr>
                <w:sz w:val="20"/>
                <w:szCs w:val="20"/>
              </w:rPr>
              <w:t>55–75</w:t>
            </w:r>
          </w:p>
        </w:tc>
        <w:tc>
          <w:tcPr>
            <w:tcW w:w="17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DECACA" w14:textId="77777777" w:rsidR="00747EDF" w:rsidRDefault="00000000">
            <w:r>
              <w:rPr>
                <w:sz w:val="20"/>
                <w:szCs w:val="20"/>
              </w:rPr>
              <w:t>90–120</w:t>
            </w:r>
          </w:p>
        </w:tc>
      </w:tr>
      <w:tr w:rsidR="00747EDF" w14:paraId="1450795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8E42AD7" w14:textId="77777777" w:rsidR="00747EDF" w:rsidRDefault="00000000">
            <w:r>
              <w:rPr>
                <w:sz w:val="20"/>
                <w:szCs w:val="20"/>
              </w:rPr>
              <w:t>Bank/SFB Clients</w:t>
            </w:r>
          </w:p>
        </w:tc>
        <w:tc>
          <w:tcPr>
            <w:tcW w:w="174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44C4076" w14:textId="77777777" w:rsidR="00747EDF" w:rsidRDefault="00000000">
            <w:r>
              <w:rPr>
                <w:sz w:val="20"/>
                <w:szCs w:val="20"/>
              </w:rPr>
              <w:t>0</w:t>
            </w:r>
          </w:p>
        </w:tc>
        <w:tc>
          <w:tcPr>
            <w:tcW w:w="174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C51DE37" w14:textId="77777777" w:rsidR="00747EDF" w:rsidRDefault="00000000">
            <w:r>
              <w:rPr>
                <w:sz w:val="20"/>
                <w:szCs w:val="20"/>
              </w:rPr>
              <w:t>3–5</w:t>
            </w:r>
          </w:p>
        </w:tc>
        <w:tc>
          <w:tcPr>
            <w:tcW w:w="174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BC6944F" w14:textId="77777777" w:rsidR="00747EDF" w:rsidRDefault="00000000">
            <w:r>
              <w:rPr>
                <w:sz w:val="20"/>
                <w:szCs w:val="20"/>
              </w:rPr>
              <w:t>8–12</w:t>
            </w:r>
          </w:p>
        </w:tc>
        <w:tc>
          <w:tcPr>
            <w:tcW w:w="174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C347A9B" w14:textId="77777777" w:rsidR="00747EDF" w:rsidRDefault="00000000">
            <w:r>
              <w:rPr>
                <w:sz w:val="20"/>
                <w:szCs w:val="20"/>
              </w:rPr>
              <w:t>15–20</w:t>
            </w:r>
          </w:p>
        </w:tc>
      </w:tr>
      <w:tr w:rsidR="00747EDF" w14:paraId="6C7659B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4B705E" w14:textId="77777777" w:rsidR="00747EDF" w:rsidRDefault="00000000">
            <w:r>
              <w:rPr>
                <w:sz w:val="20"/>
                <w:szCs w:val="20"/>
              </w:rPr>
              <w:t>Avg. Revenue/Client (Lakh)</w:t>
            </w:r>
          </w:p>
        </w:tc>
        <w:tc>
          <w:tcPr>
            <w:tcW w:w="17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22B2B8" w14:textId="77777777" w:rsidR="00747EDF" w:rsidRDefault="00000000">
            <w:r>
              <w:rPr>
                <w:sz w:val="20"/>
                <w:szCs w:val="20"/>
              </w:rPr>
              <w:t>₹20–30</w:t>
            </w:r>
          </w:p>
        </w:tc>
        <w:tc>
          <w:tcPr>
            <w:tcW w:w="17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2F1E53" w14:textId="77777777" w:rsidR="00747EDF" w:rsidRDefault="00000000">
            <w:r>
              <w:rPr>
                <w:sz w:val="20"/>
                <w:szCs w:val="20"/>
              </w:rPr>
              <w:t>₹30–45</w:t>
            </w:r>
          </w:p>
        </w:tc>
        <w:tc>
          <w:tcPr>
            <w:tcW w:w="17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AB3C0F" w14:textId="77777777" w:rsidR="00747EDF" w:rsidRDefault="00000000">
            <w:r>
              <w:rPr>
                <w:sz w:val="20"/>
                <w:szCs w:val="20"/>
              </w:rPr>
              <w:t>₹35–50</w:t>
            </w:r>
          </w:p>
        </w:tc>
        <w:tc>
          <w:tcPr>
            <w:tcW w:w="17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2BC020" w14:textId="77777777" w:rsidR="00747EDF" w:rsidRDefault="00000000">
            <w:r>
              <w:rPr>
                <w:sz w:val="20"/>
                <w:szCs w:val="20"/>
              </w:rPr>
              <w:t>₹40–60</w:t>
            </w:r>
          </w:p>
        </w:tc>
      </w:tr>
      <w:tr w:rsidR="00747EDF" w14:paraId="0B8D9FF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35C0C36" w14:textId="77777777" w:rsidR="00747EDF" w:rsidRDefault="00000000">
            <w:r>
              <w:rPr>
                <w:sz w:val="20"/>
                <w:szCs w:val="20"/>
              </w:rPr>
              <w:t>Annual Revenue (Cr)</w:t>
            </w:r>
          </w:p>
        </w:tc>
        <w:tc>
          <w:tcPr>
            <w:tcW w:w="174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D4D218C" w14:textId="77777777" w:rsidR="00747EDF" w:rsidRDefault="00000000">
            <w:r>
              <w:rPr>
                <w:sz w:val="20"/>
                <w:szCs w:val="20"/>
              </w:rPr>
              <w:t>₹3–5</w:t>
            </w:r>
          </w:p>
        </w:tc>
        <w:tc>
          <w:tcPr>
            <w:tcW w:w="174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30CDEF6" w14:textId="77777777" w:rsidR="00747EDF" w:rsidRDefault="00000000">
            <w:r>
              <w:rPr>
                <w:sz w:val="20"/>
                <w:szCs w:val="20"/>
              </w:rPr>
              <w:t>₹12–20</w:t>
            </w:r>
          </w:p>
        </w:tc>
        <w:tc>
          <w:tcPr>
            <w:tcW w:w="174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FD25ACF" w14:textId="77777777" w:rsidR="00747EDF" w:rsidRDefault="00000000">
            <w:r>
              <w:rPr>
                <w:sz w:val="20"/>
                <w:szCs w:val="20"/>
              </w:rPr>
              <w:t>₹30–45</w:t>
            </w:r>
          </w:p>
        </w:tc>
        <w:tc>
          <w:tcPr>
            <w:tcW w:w="174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3F29011" w14:textId="77777777" w:rsidR="00747EDF" w:rsidRDefault="00000000">
            <w:r>
              <w:rPr>
                <w:sz w:val="20"/>
                <w:szCs w:val="20"/>
              </w:rPr>
              <w:t>₹60–90</w:t>
            </w:r>
          </w:p>
        </w:tc>
      </w:tr>
      <w:tr w:rsidR="00747EDF" w14:paraId="56CC613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3F6F25" w14:textId="77777777" w:rsidR="00747EDF" w:rsidRDefault="00000000">
            <w:r>
              <w:rPr>
                <w:sz w:val="20"/>
                <w:szCs w:val="20"/>
              </w:rPr>
              <w:t>Gross Margin</w:t>
            </w:r>
          </w:p>
        </w:tc>
        <w:tc>
          <w:tcPr>
            <w:tcW w:w="17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97CE29" w14:textId="77777777" w:rsidR="00747EDF" w:rsidRDefault="00000000">
            <w:r>
              <w:rPr>
                <w:sz w:val="20"/>
                <w:szCs w:val="20"/>
              </w:rPr>
              <w:t>65–70%</w:t>
            </w:r>
          </w:p>
        </w:tc>
        <w:tc>
          <w:tcPr>
            <w:tcW w:w="17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CCCE11" w14:textId="77777777" w:rsidR="00747EDF" w:rsidRDefault="00000000">
            <w:r>
              <w:rPr>
                <w:sz w:val="20"/>
                <w:szCs w:val="20"/>
              </w:rPr>
              <w:t>70–75%</w:t>
            </w:r>
          </w:p>
        </w:tc>
        <w:tc>
          <w:tcPr>
            <w:tcW w:w="17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0A2D7B" w14:textId="77777777" w:rsidR="00747EDF" w:rsidRDefault="00000000">
            <w:r>
              <w:rPr>
                <w:sz w:val="20"/>
                <w:szCs w:val="20"/>
              </w:rPr>
              <w:t>75–80%</w:t>
            </w:r>
          </w:p>
        </w:tc>
        <w:tc>
          <w:tcPr>
            <w:tcW w:w="17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7F9037" w14:textId="77777777" w:rsidR="00747EDF" w:rsidRDefault="00000000">
            <w:r>
              <w:rPr>
                <w:sz w:val="20"/>
                <w:szCs w:val="20"/>
              </w:rPr>
              <w:t>78–82%</w:t>
            </w:r>
          </w:p>
        </w:tc>
      </w:tr>
      <w:tr w:rsidR="00747EDF" w14:paraId="366819D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9BAC057" w14:textId="77777777" w:rsidR="00747EDF" w:rsidRDefault="00000000">
            <w:r>
              <w:rPr>
                <w:sz w:val="20"/>
                <w:szCs w:val="20"/>
              </w:rPr>
              <w:t>Key Milestone</w:t>
            </w:r>
          </w:p>
        </w:tc>
        <w:tc>
          <w:tcPr>
            <w:tcW w:w="174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C71B462" w14:textId="77777777" w:rsidR="00747EDF" w:rsidRDefault="00000000">
            <w:r>
              <w:rPr>
                <w:sz w:val="20"/>
                <w:szCs w:val="20"/>
              </w:rPr>
              <w:t>Product-market fit; 3–5 reference clients</w:t>
            </w:r>
          </w:p>
        </w:tc>
        <w:tc>
          <w:tcPr>
            <w:tcW w:w="174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121C0F0" w14:textId="77777777" w:rsidR="00747EDF" w:rsidRDefault="00000000">
            <w:r>
              <w:rPr>
                <w:sz w:val="20"/>
                <w:szCs w:val="20"/>
              </w:rPr>
              <w:t>Expansion to enterprise; regulatory reporting module</w:t>
            </w:r>
          </w:p>
        </w:tc>
        <w:tc>
          <w:tcPr>
            <w:tcW w:w="174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6F3668C" w14:textId="77777777" w:rsidR="00747EDF" w:rsidRDefault="00000000">
            <w:r>
              <w:rPr>
                <w:sz w:val="20"/>
                <w:szCs w:val="20"/>
              </w:rPr>
              <w:t>Network effects; consortium intelligence</w:t>
            </w:r>
          </w:p>
        </w:tc>
        <w:tc>
          <w:tcPr>
            <w:tcW w:w="174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2B1B48B" w14:textId="77777777" w:rsidR="00747EDF" w:rsidRDefault="00000000">
            <w:r>
              <w:rPr>
                <w:sz w:val="20"/>
                <w:szCs w:val="20"/>
              </w:rPr>
              <w:t>Market leader in NBFC RCU tech</w:t>
            </w:r>
          </w:p>
        </w:tc>
      </w:tr>
    </w:tbl>
    <w:p w14:paraId="52B521E1" w14:textId="77777777" w:rsidR="00747EDF" w:rsidRDefault="00747EDF">
      <w:pPr>
        <w:spacing w:after="200"/>
      </w:pPr>
    </w:p>
    <w:p w14:paraId="09E1927A" w14:textId="77777777" w:rsidR="00747EDF" w:rsidRDefault="00000000">
      <w:pPr>
        <w:pStyle w:val="Heading1"/>
      </w:pPr>
      <w:bookmarkStart w:id="42" w:name="_Toc221626137"/>
      <w:r>
        <w:t>12. Strategic Recommendations</w:t>
      </w:r>
      <w:bookmarkEnd w:id="42"/>
    </w:p>
    <w:p w14:paraId="2DBD0EB7" w14:textId="77777777" w:rsidR="00747EDF" w:rsidRDefault="00747EDF">
      <w:pPr>
        <w:spacing w:after="200"/>
      </w:pPr>
    </w:p>
    <w:p w14:paraId="48EA4564" w14:textId="77777777" w:rsidR="00747EDF" w:rsidRDefault="00000000">
      <w:pPr>
        <w:pStyle w:val="ListParagraph"/>
        <w:numPr>
          <w:ilvl w:val="0"/>
          <w:numId w:val="7"/>
        </w:numPr>
        <w:spacing w:after="80" w:line="276" w:lineRule="auto"/>
      </w:pPr>
      <w:r>
        <w:lastRenderedPageBreak/>
        <w:t>Build for RBI Compliance First: The July 2024 Master Directions create an immediate, mandatory compliance need. A platform that makes FRM compliance turnkey will find fastest adoption.</w:t>
      </w:r>
    </w:p>
    <w:p w14:paraId="5E74EF08" w14:textId="77777777" w:rsidR="00747EDF" w:rsidRDefault="00000000">
      <w:pPr>
        <w:pStyle w:val="ListParagraph"/>
        <w:numPr>
          <w:ilvl w:val="0"/>
          <w:numId w:val="7"/>
        </w:numPr>
        <w:spacing w:after="80" w:line="276" w:lineRule="auto"/>
      </w:pPr>
      <w:r>
        <w:t>Lead with Document Forensics + Field Investigation: These are the two most painful, manual-intensive, and poorly served areas in current RCU operations. Solving these creates immediate value and hooks for platform expansion.</w:t>
      </w:r>
    </w:p>
    <w:p w14:paraId="470300B7" w14:textId="77777777" w:rsidR="00747EDF" w:rsidRDefault="00000000">
      <w:pPr>
        <w:pStyle w:val="ListParagraph"/>
        <w:numPr>
          <w:ilvl w:val="0"/>
          <w:numId w:val="7"/>
        </w:numPr>
        <w:spacing w:after="80" w:line="276" w:lineRule="auto"/>
      </w:pPr>
      <w:r>
        <w:t>Partner, Don’t Compete with KYC/Verification Providers: Integrate with Perfios, Signzy, HyperVerge, and others as verification backends while owning the investigation workflow and fraud intelligence layer.</w:t>
      </w:r>
    </w:p>
    <w:p w14:paraId="593F3B27" w14:textId="77777777" w:rsidR="00747EDF" w:rsidRDefault="00000000">
      <w:pPr>
        <w:pStyle w:val="ListParagraph"/>
        <w:numPr>
          <w:ilvl w:val="0"/>
          <w:numId w:val="7"/>
        </w:numPr>
        <w:spacing w:after="80" w:line="276" w:lineRule="auto"/>
      </w:pPr>
      <w:r>
        <w:t>Target the “Middle” First: Mid-size Upper and Middle Layer NBFCs (₹1,000–10,000 Cr AUM) have growing compliance burdens but lack the budget or capability for in-house solutions. They represent the ideal early adopter segment.</w:t>
      </w:r>
    </w:p>
    <w:p w14:paraId="69CD3CBA" w14:textId="77777777" w:rsidR="00747EDF" w:rsidRDefault="00000000">
      <w:pPr>
        <w:pStyle w:val="ListParagraph"/>
        <w:numPr>
          <w:ilvl w:val="0"/>
          <w:numId w:val="7"/>
        </w:numPr>
        <w:spacing w:after="80" w:line="276" w:lineRule="auto"/>
      </w:pPr>
      <w:r>
        <w:t>Invest in Fraud Intelligence Network Effects: The long-term defensible moat is the cross-institution fraud intelligence network. Each new client contributes to and benefits from shared fraud patterns, creating increasing returns to scale.</w:t>
      </w:r>
    </w:p>
    <w:p w14:paraId="019FAB8D" w14:textId="77777777" w:rsidR="00747EDF" w:rsidRDefault="00000000">
      <w:pPr>
        <w:pStyle w:val="ListParagraph"/>
        <w:numPr>
          <w:ilvl w:val="0"/>
          <w:numId w:val="7"/>
        </w:numPr>
        <w:spacing w:after="80" w:line="276" w:lineRule="auto"/>
      </w:pPr>
      <w:r>
        <w:t>Plan for Deepfake/GenAI Document Detection: As fraudsters increasingly use generative AI to create synthetic documents, the ability to detect AI-generated content will become a critical differentiator within 12–18 months.</w:t>
      </w:r>
    </w:p>
    <w:p w14:paraId="6584FCFD" w14:textId="77777777" w:rsidR="00747EDF" w:rsidRDefault="00000000">
      <w:pPr>
        <w:pStyle w:val="ListParagraph"/>
        <w:numPr>
          <w:ilvl w:val="0"/>
          <w:numId w:val="7"/>
        </w:numPr>
        <w:spacing w:after="80" w:line="276" w:lineRule="auto"/>
      </w:pPr>
      <w:r>
        <w:t>Consider India Stack Integration Deeply: Leverage Account Aggregator, DigiLocker, and other India Stack components to reduce friction in data collection while maintaining a strong verification backbone.</w:t>
      </w:r>
    </w:p>
    <w:p w14:paraId="39EA5BAA" w14:textId="77777777" w:rsidR="00747EDF" w:rsidRDefault="00747EDF">
      <w:pPr>
        <w:spacing w:after="200"/>
      </w:pPr>
    </w:p>
    <w:p w14:paraId="6ECB6152" w14:textId="77777777" w:rsidR="00747EDF" w:rsidRDefault="00747EDF">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47EDF" w14:paraId="35C9E3F0" w14:textId="77777777">
        <w:tblPrEx>
          <w:tblCellMar>
            <w:top w:w="0" w:type="dxa"/>
            <w:bottom w:w="0" w:type="dxa"/>
          </w:tblCellMar>
        </w:tblPrEx>
        <w:tc>
          <w:tcPr>
            <w:tcW w:w="9360" w:type="dxa"/>
            <w:tcBorders>
              <w:top w:val="single" w:sz="6" w:space="0" w:color="1B4F72"/>
              <w:left w:val="none" w:sz="0" w:space="0" w:color="FFFFFF"/>
              <w:bottom w:val="none" w:sz="0" w:space="0" w:color="FFFFFF"/>
              <w:right w:val="none" w:sz="0" w:space="0" w:color="FFFFFF"/>
            </w:tcBorders>
          </w:tcPr>
          <w:p w14:paraId="0B617B75" w14:textId="77777777" w:rsidR="00747EDF" w:rsidRDefault="00747EDF"/>
        </w:tc>
      </w:tr>
    </w:tbl>
    <w:p w14:paraId="1D3A3D04" w14:textId="77777777" w:rsidR="00747EDF" w:rsidRDefault="00747EDF">
      <w:pPr>
        <w:spacing w:after="200"/>
      </w:pPr>
    </w:p>
    <w:p w14:paraId="5E437939" w14:textId="77777777" w:rsidR="00747EDF" w:rsidRDefault="00000000">
      <w:pPr>
        <w:spacing w:after="60"/>
        <w:jc w:val="center"/>
      </w:pPr>
      <w:r>
        <w:rPr>
          <w:i/>
          <w:iCs/>
          <w:color w:val="999999"/>
          <w:sz w:val="20"/>
          <w:szCs w:val="20"/>
        </w:rPr>
        <w:t>End of Report</w:t>
      </w:r>
    </w:p>
    <w:p w14:paraId="5D8E7771" w14:textId="77777777" w:rsidR="00747EDF" w:rsidRDefault="00000000">
      <w:pPr>
        <w:jc w:val="center"/>
      </w:pPr>
      <w:r>
        <w:rPr>
          <w:color w:val="999999"/>
          <w:sz w:val="18"/>
          <w:szCs w:val="18"/>
        </w:rPr>
        <w:t>Prepared February 2026 | For Internal Use Only</w:t>
      </w:r>
    </w:p>
    <w:sectPr w:rsidR="00747ED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758BA"/>
    <w:multiLevelType w:val="hybridMultilevel"/>
    <w:tmpl w:val="4CA49280"/>
    <w:lvl w:ilvl="0" w:tplc="A2E2468C">
      <w:start w:val="1"/>
      <w:numFmt w:val="decimal"/>
      <w:lvlText w:val="%1."/>
      <w:lvlJc w:val="left"/>
      <w:pPr>
        <w:ind w:left="720" w:hanging="360"/>
      </w:pPr>
    </w:lvl>
    <w:lvl w:ilvl="1" w:tplc="D00AB540">
      <w:numFmt w:val="decimal"/>
      <w:lvlText w:val=""/>
      <w:lvlJc w:val="left"/>
    </w:lvl>
    <w:lvl w:ilvl="2" w:tplc="0378652A">
      <w:numFmt w:val="decimal"/>
      <w:lvlText w:val=""/>
      <w:lvlJc w:val="left"/>
    </w:lvl>
    <w:lvl w:ilvl="3" w:tplc="55007B56">
      <w:numFmt w:val="decimal"/>
      <w:lvlText w:val=""/>
      <w:lvlJc w:val="left"/>
    </w:lvl>
    <w:lvl w:ilvl="4" w:tplc="15CCA0DE">
      <w:numFmt w:val="decimal"/>
      <w:lvlText w:val=""/>
      <w:lvlJc w:val="left"/>
    </w:lvl>
    <w:lvl w:ilvl="5" w:tplc="01CC4620">
      <w:numFmt w:val="decimal"/>
      <w:lvlText w:val=""/>
      <w:lvlJc w:val="left"/>
    </w:lvl>
    <w:lvl w:ilvl="6" w:tplc="CF2A3882">
      <w:numFmt w:val="decimal"/>
      <w:lvlText w:val=""/>
      <w:lvlJc w:val="left"/>
    </w:lvl>
    <w:lvl w:ilvl="7" w:tplc="50622E8C">
      <w:numFmt w:val="decimal"/>
      <w:lvlText w:val=""/>
      <w:lvlJc w:val="left"/>
    </w:lvl>
    <w:lvl w:ilvl="8" w:tplc="22EE5AEC">
      <w:numFmt w:val="decimal"/>
      <w:lvlText w:val=""/>
      <w:lvlJc w:val="left"/>
    </w:lvl>
  </w:abstractNum>
  <w:abstractNum w:abstractNumId="1" w15:restartNumberingAfterBreak="0">
    <w:nsid w:val="183279E7"/>
    <w:multiLevelType w:val="hybridMultilevel"/>
    <w:tmpl w:val="E9F4E4A2"/>
    <w:lvl w:ilvl="0" w:tplc="9DB84B84">
      <w:start w:val="1"/>
      <w:numFmt w:val="decimal"/>
      <w:lvlText w:val="%1."/>
      <w:lvlJc w:val="left"/>
      <w:pPr>
        <w:ind w:left="720" w:hanging="360"/>
      </w:pPr>
    </w:lvl>
    <w:lvl w:ilvl="1" w:tplc="63485A34">
      <w:numFmt w:val="decimal"/>
      <w:lvlText w:val=""/>
      <w:lvlJc w:val="left"/>
    </w:lvl>
    <w:lvl w:ilvl="2" w:tplc="D6CE4BE0">
      <w:numFmt w:val="decimal"/>
      <w:lvlText w:val=""/>
      <w:lvlJc w:val="left"/>
    </w:lvl>
    <w:lvl w:ilvl="3" w:tplc="5764FE2C">
      <w:numFmt w:val="decimal"/>
      <w:lvlText w:val=""/>
      <w:lvlJc w:val="left"/>
    </w:lvl>
    <w:lvl w:ilvl="4" w:tplc="6AFEF26A">
      <w:numFmt w:val="decimal"/>
      <w:lvlText w:val=""/>
      <w:lvlJc w:val="left"/>
    </w:lvl>
    <w:lvl w:ilvl="5" w:tplc="5E52F038">
      <w:numFmt w:val="decimal"/>
      <w:lvlText w:val=""/>
      <w:lvlJc w:val="left"/>
    </w:lvl>
    <w:lvl w:ilvl="6" w:tplc="1F64C878">
      <w:numFmt w:val="decimal"/>
      <w:lvlText w:val=""/>
      <w:lvlJc w:val="left"/>
    </w:lvl>
    <w:lvl w:ilvl="7" w:tplc="2FDEDFD6">
      <w:numFmt w:val="decimal"/>
      <w:lvlText w:val=""/>
      <w:lvlJc w:val="left"/>
    </w:lvl>
    <w:lvl w:ilvl="8" w:tplc="CA689DEA">
      <w:numFmt w:val="decimal"/>
      <w:lvlText w:val=""/>
      <w:lvlJc w:val="left"/>
    </w:lvl>
  </w:abstractNum>
  <w:abstractNum w:abstractNumId="2" w15:restartNumberingAfterBreak="0">
    <w:nsid w:val="3C764647"/>
    <w:multiLevelType w:val="hybridMultilevel"/>
    <w:tmpl w:val="936C3534"/>
    <w:lvl w:ilvl="0" w:tplc="9A16D1C2">
      <w:start w:val="1"/>
      <w:numFmt w:val="bullet"/>
      <w:lvlText w:val="•"/>
      <w:lvlJc w:val="left"/>
      <w:pPr>
        <w:ind w:left="720" w:hanging="360"/>
      </w:pPr>
    </w:lvl>
    <w:lvl w:ilvl="1" w:tplc="7D1E8AFC">
      <w:start w:val="1"/>
      <w:numFmt w:val="bullet"/>
      <w:lvlText w:val="◦"/>
      <w:lvlJc w:val="left"/>
      <w:pPr>
        <w:ind w:left="1440" w:hanging="360"/>
      </w:pPr>
    </w:lvl>
    <w:lvl w:ilvl="2" w:tplc="530A1E7C">
      <w:numFmt w:val="decimal"/>
      <w:lvlText w:val=""/>
      <w:lvlJc w:val="left"/>
    </w:lvl>
    <w:lvl w:ilvl="3" w:tplc="03C4DE60">
      <w:numFmt w:val="decimal"/>
      <w:lvlText w:val=""/>
      <w:lvlJc w:val="left"/>
    </w:lvl>
    <w:lvl w:ilvl="4" w:tplc="92487A40">
      <w:numFmt w:val="decimal"/>
      <w:lvlText w:val=""/>
      <w:lvlJc w:val="left"/>
    </w:lvl>
    <w:lvl w:ilvl="5" w:tplc="50DC595A">
      <w:numFmt w:val="decimal"/>
      <w:lvlText w:val=""/>
      <w:lvlJc w:val="left"/>
    </w:lvl>
    <w:lvl w:ilvl="6" w:tplc="53CC4540">
      <w:numFmt w:val="decimal"/>
      <w:lvlText w:val=""/>
      <w:lvlJc w:val="left"/>
    </w:lvl>
    <w:lvl w:ilvl="7" w:tplc="0A12C3A2">
      <w:numFmt w:val="decimal"/>
      <w:lvlText w:val=""/>
      <w:lvlJc w:val="left"/>
    </w:lvl>
    <w:lvl w:ilvl="8" w:tplc="903E39C8">
      <w:numFmt w:val="decimal"/>
      <w:lvlText w:val=""/>
      <w:lvlJc w:val="left"/>
    </w:lvl>
  </w:abstractNum>
  <w:abstractNum w:abstractNumId="3" w15:restartNumberingAfterBreak="0">
    <w:nsid w:val="583126A3"/>
    <w:multiLevelType w:val="hybridMultilevel"/>
    <w:tmpl w:val="48742160"/>
    <w:lvl w:ilvl="0" w:tplc="CC9E5C3C">
      <w:start w:val="1"/>
      <w:numFmt w:val="bullet"/>
      <w:lvlText w:val="●"/>
      <w:lvlJc w:val="left"/>
      <w:pPr>
        <w:ind w:left="720" w:hanging="360"/>
      </w:pPr>
    </w:lvl>
    <w:lvl w:ilvl="1" w:tplc="F94CA16A">
      <w:start w:val="1"/>
      <w:numFmt w:val="bullet"/>
      <w:lvlText w:val="○"/>
      <w:lvlJc w:val="left"/>
      <w:pPr>
        <w:ind w:left="1440" w:hanging="360"/>
      </w:pPr>
    </w:lvl>
    <w:lvl w:ilvl="2" w:tplc="CF021270">
      <w:start w:val="1"/>
      <w:numFmt w:val="bullet"/>
      <w:lvlText w:val="■"/>
      <w:lvlJc w:val="left"/>
      <w:pPr>
        <w:ind w:left="2160" w:hanging="360"/>
      </w:pPr>
    </w:lvl>
    <w:lvl w:ilvl="3" w:tplc="93ACDA12">
      <w:start w:val="1"/>
      <w:numFmt w:val="bullet"/>
      <w:lvlText w:val="●"/>
      <w:lvlJc w:val="left"/>
      <w:pPr>
        <w:ind w:left="2880" w:hanging="360"/>
      </w:pPr>
    </w:lvl>
    <w:lvl w:ilvl="4" w:tplc="5E9CE430">
      <w:start w:val="1"/>
      <w:numFmt w:val="bullet"/>
      <w:lvlText w:val="○"/>
      <w:lvlJc w:val="left"/>
      <w:pPr>
        <w:ind w:left="3600" w:hanging="360"/>
      </w:pPr>
    </w:lvl>
    <w:lvl w:ilvl="5" w:tplc="B3C4D6C0">
      <w:start w:val="1"/>
      <w:numFmt w:val="bullet"/>
      <w:lvlText w:val="■"/>
      <w:lvlJc w:val="left"/>
      <w:pPr>
        <w:ind w:left="4320" w:hanging="360"/>
      </w:pPr>
    </w:lvl>
    <w:lvl w:ilvl="6" w:tplc="0CD6CFF4">
      <w:start w:val="1"/>
      <w:numFmt w:val="bullet"/>
      <w:lvlText w:val="●"/>
      <w:lvlJc w:val="left"/>
      <w:pPr>
        <w:ind w:left="5040" w:hanging="360"/>
      </w:pPr>
    </w:lvl>
    <w:lvl w:ilvl="7" w:tplc="7DFCBC48">
      <w:start w:val="1"/>
      <w:numFmt w:val="bullet"/>
      <w:lvlText w:val="●"/>
      <w:lvlJc w:val="left"/>
      <w:pPr>
        <w:ind w:left="5760" w:hanging="360"/>
      </w:pPr>
    </w:lvl>
    <w:lvl w:ilvl="8" w:tplc="8988B3F8">
      <w:start w:val="1"/>
      <w:numFmt w:val="bullet"/>
      <w:lvlText w:val="●"/>
      <w:lvlJc w:val="left"/>
      <w:pPr>
        <w:ind w:left="6480" w:hanging="360"/>
      </w:pPr>
    </w:lvl>
  </w:abstractNum>
  <w:abstractNum w:abstractNumId="4" w15:restartNumberingAfterBreak="0">
    <w:nsid w:val="667F7148"/>
    <w:multiLevelType w:val="hybridMultilevel"/>
    <w:tmpl w:val="4A307EA4"/>
    <w:lvl w:ilvl="0" w:tplc="DC9CE5E4">
      <w:start w:val="1"/>
      <w:numFmt w:val="decimal"/>
      <w:lvlText w:val="%1."/>
      <w:lvlJc w:val="left"/>
      <w:pPr>
        <w:ind w:left="720" w:hanging="360"/>
      </w:pPr>
    </w:lvl>
    <w:lvl w:ilvl="1" w:tplc="E8C8F9B0">
      <w:numFmt w:val="decimal"/>
      <w:lvlText w:val=""/>
      <w:lvlJc w:val="left"/>
    </w:lvl>
    <w:lvl w:ilvl="2" w:tplc="59E4E68C">
      <w:numFmt w:val="decimal"/>
      <w:lvlText w:val=""/>
      <w:lvlJc w:val="left"/>
    </w:lvl>
    <w:lvl w:ilvl="3" w:tplc="22986AB4">
      <w:numFmt w:val="decimal"/>
      <w:lvlText w:val=""/>
      <w:lvlJc w:val="left"/>
    </w:lvl>
    <w:lvl w:ilvl="4" w:tplc="F91AF4DA">
      <w:numFmt w:val="decimal"/>
      <w:lvlText w:val=""/>
      <w:lvlJc w:val="left"/>
    </w:lvl>
    <w:lvl w:ilvl="5" w:tplc="D2A6B26C">
      <w:numFmt w:val="decimal"/>
      <w:lvlText w:val=""/>
      <w:lvlJc w:val="left"/>
    </w:lvl>
    <w:lvl w:ilvl="6" w:tplc="7DB042AC">
      <w:numFmt w:val="decimal"/>
      <w:lvlText w:val=""/>
      <w:lvlJc w:val="left"/>
    </w:lvl>
    <w:lvl w:ilvl="7" w:tplc="0C44D0E4">
      <w:numFmt w:val="decimal"/>
      <w:lvlText w:val=""/>
      <w:lvlJc w:val="left"/>
    </w:lvl>
    <w:lvl w:ilvl="8" w:tplc="536CE6AC">
      <w:numFmt w:val="decimal"/>
      <w:lvlText w:val=""/>
      <w:lvlJc w:val="left"/>
    </w:lvl>
  </w:abstractNum>
  <w:abstractNum w:abstractNumId="5" w15:restartNumberingAfterBreak="0">
    <w:nsid w:val="71784DC5"/>
    <w:multiLevelType w:val="hybridMultilevel"/>
    <w:tmpl w:val="9DEE45FC"/>
    <w:lvl w:ilvl="0" w:tplc="39E2FB1C">
      <w:start w:val="1"/>
      <w:numFmt w:val="decimal"/>
      <w:lvlText w:val="%1."/>
      <w:lvlJc w:val="left"/>
      <w:pPr>
        <w:ind w:left="720" w:hanging="360"/>
      </w:pPr>
    </w:lvl>
    <w:lvl w:ilvl="1" w:tplc="26EA6960">
      <w:numFmt w:val="decimal"/>
      <w:lvlText w:val=""/>
      <w:lvlJc w:val="left"/>
    </w:lvl>
    <w:lvl w:ilvl="2" w:tplc="0FE29562">
      <w:numFmt w:val="decimal"/>
      <w:lvlText w:val=""/>
      <w:lvlJc w:val="left"/>
    </w:lvl>
    <w:lvl w:ilvl="3" w:tplc="33801F46">
      <w:numFmt w:val="decimal"/>
      <w:lvlText w:val=""/>
      <w:lvlJc w:val="left"/>
    </w:lvl>
    <w:lvl w:ilvl="4" w:tplc="40D0D808">
      <w:numFmt w:val="decimal"/>
      <w:lvlText w:val=""/>
      <w:lvlJc w:val="left"/>
    </w:lvl>
    <w:lvl w:ilvl="5" w:tplc="675C9B8C">
      <w:numFmt w:val="decimal"/>
      <w:lvlText w:val=""/>
      <w:lvlJc w:val="left"/>
    </w:lvl>
    <w:lvl w:ilvl="6" w:tplc="EEB2CBEC">
      <w:numFmt w:val="decimal"/>
      <w:lvlText w:val=""/>
      <w:lvlJc w:val="left"/>
    </w:lvl>
    <w:lvl w:ilvl="7" w:tplc="BD72316C">
      <w:numFmt w:val="decimal"/>
      <w:lvlText w:val=""/>
      <w:lvlJc w:val="left"/>
    </w:lvl>
    <w:lvl w:ilvl="8" w:tplc="5D5861C4">
      <w:numFmt w:val="decimal"/>
      <w:lvlText w:val=""/>
      <w:lvlJc w:val="left"/>
    </w:lvl>
  </w:abstractNum>
  <w:abstractNum w:abstractNumId="6" w15:restartNumberingAfterBreak="0">
    <w:nsid w:val="74924688"/>
    <w:multiLevelType w:val="hybridMultilevel"/>
    <w:tmpl w:val="06DEDFF0"/>
    <w:lvl w:ilvl="0" w:tplc="AB96320A">
      <w:start w:val="1"/>
      <w:numFmt w:val="decimal"/>
      <w:lvlText w:val="%1."/>
      <w:lvlJc w:val="left"/>
      <w:pPr>
        <w:ind w:left="720" w:hanging="360"/>
      </w:pPr>
    </w:lvl>
    <w:lvl w:ilvl="1" w:tplc="188AC7CE">
      <w:numFmt w:val="decimal"/>
      <w:lvlText w:val=""/>
      <w:lvlJc w:val="left"/>
    </w:lvl>
    <w:lvl w:ilvl="2" w:tplc="B0287F56">
      <w:numFmt w:val="decimal"/>
      <w:lvlText w:val=""/>
      <w:lvlJc w:val="left"/>
    </w:lvl>
    <w:lvl w:ilvl="3" w:tplc="837E0B72">
      <w:numFmt w:val="decimal"/>
      <w:lvlText w:val=""/>
      <w:lvlJc w:val="left"/>
    </w:lvl>
    <w:lvl w:ilvl="4" w:tplc="721ADE0E">
      <w:numFmt w:val="decimal"/>
      <w:lvlText w:val=""/>
      <w:lvlJc w:val="left"/>
    </w:lvl>
    <w:lvl w:ilvl="5" w:tplc="5EF09ADC">
      <w:numFmt w:val="decimal"/>
      <w:lvlText w:val=""/>
      <w:lvlJc w:val="left"/>
    </w:lvl>
    <w:lvl w:ilvl="6" w:tplc="71042544">
      <w:numFmt w:val="decimal"/>
      <w:lvlText w:val=""/>
      <w:lvlJc w:val="left"/>
    </w:lvl>
    <w:lvl w:ilvl="7" w:tplc="E7D0A5FA">
      <w:numFmt w:val="decimal"/>
      <w:lvlText w:val=""/>
      <w:lvlJc w:val="left"/>
    </w:lvl>
    <w:lvl w:ilvl="8" w:tplc="0A6C0E8A">
      <w:numFmt w:val="decimal"/>
      <w:lvlText w:val=""/>
      <w:lvlJc w:val="left"/>
    </w:lvl>
  </w:abstractNum>
  <w:num w:numId="1" w16cid:durableId="1021012487">
    <w:abstractNumId w:val="3"/>
    <w:lvlOverride w:ilvl="0">
      <w:startOverride w:val="1"/>
    </w:lvlOverride>
  </w:num>
  <w:num w:numId="2" w16cid:durableId="409352765">
    <w:abstractNumId w:val="2"/>
    <w:lvlOverride w:ilvl="0">
      <w:startOverride w:val="1"/>
    </w:lvlOverride>
  </w:num>
  <w:num w:numId="3" w16cid:durableId="321738051">
    <w:abstractNumId w:val="4"/>
    <w:lvlOverride w:ilvl="0">
      <w:startOverride w:val="1"/>
    </w:lvlOverride>
  </w:num>
  <w:num w:numId="4" w16cid:durableId="1069501663">
    <w:abstractNumId w:val="1"/>
    <w:lvlOverride w:ilvl="0">
      <w:startOverride w:val="1"/>
    </w:lvlOverride>
  </w:num>
  <w:num w:numId="5" w16cid:durableId="893926789">
    <w:abstractNumId w:val="0"/>
    <w:lvlOverride w:ilvl="0">
      <w:startOverride w:val="1"/>
    </w:lvlOverride>
  </w:num>
  <w:num w:numId="6" w16cid:durableId="1986274002">
    <w:abstractNumId w:val="6"/>
    <w:lvlOverride w:ilvl="0">
      <w:startOverride w:val="1"/>
    </w:lvlOverride>
  </w:num>
  <w:num w:numId="7" w16cid:durableId="53821358">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7EDF"/>
    <w:rsid w:val="00666127"/>
    <w:rsid w:val="00747EDF"/>
    <w:rsid w:val="00866E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26A3A"/>
  <w15:docId w15:val="{ACA0054A-0EB2-4B6D-B457-AB0F7E781E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4F72"/>
      <w:sz w:val="36"/>
      <w:szCs w:val="36"/>
    </w:rPr>
  </w:style>
  <w:style w:type="paragraph" w:styleId="Heading2">
    <w:name w:val="heading 2"/>
    <w:uiPriority w:val="9"/>
    <w:unhideWhenUsed/>
    <w:qFormat/>
    <w:pPr>
      <w:spacing w:before="280" w:after="160"/>
      <w:outlineLvl w:val="1"/>
    </w:pPr>
    <w:rPr>
      <w:b/>
      <w:bCs/>
      <w:color w:val="1B4F72"/>
      <w:sz w:val="28"/>
      <w:szCs w:val="28"/>
    </w:rPr>
  </w:style>
  <w:style w:type="paragraph" w:styleId="Heading3">
    <w:name w:val="heading 3"/>
    <w:uiPriority w:val="9"/>
    <w:unhideWhenUsed/>
    <w:qFormat/>
    <w:pPr>
      <w:spacing w:before="200" w:after="120"/>
      <w:outlineLvl w:val="2"/>
    </w:pPr>
    <w:rPr>
      <w:b/>
      <w:bCs/>
      <w:color w:val="2E86C1"/>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866E0B"/>
    <w:pPr>
      <w:spacing w:after="100"/>
    </w:pPr>
  </w:style>
  <w:style w:type="paragraph" w:styleId="TOC2">
    <w:name w:val="toc 2"/>
    <w:basedOn w:val="Normal"/>
    <w:next w:val="Normal"/>
    <w:autoRedefine/>
    <w:uiPriority w:val="39"/>
    <w:unhideWhenUsed/>
    <w:rsid w:val="00866E0B"/>
    <w:pPr>
      <w:spacing w:after="100"/>
      <w:ind w:left="220"/>
    </w:pPr>
  </w:style>
  <w:style w:type="paragraph" w:styleId="TOC3">
    <w:name w:val="toc 3"/>
    <w:basedOn w:val="Normal"/>
    <w:next w:val="Normal"/>
    <w:autoRedefine/>
    <w:uiPriority w:val="39"/>
    <w:unhideWhenUsed/>
    <w:rsid w:val="00866E0B"/>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4859</Words>
  <Characters>27700</Characters>
  <Application>Microsoft Office Word</Application>
  <DocSecurity>0</DocSecurity>
  <Lines>230</Lines>
  <Paragraphs>64</Paragraphs>
  <ScaleCrop>false</ScaleCrop>
  <Company/>
  <LinksUpToDate>false</LinksUpToDate>
  <CharactersWithSpaces>32495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Ring Centrium</cp:lastModifiedBy>
  <cp:revision>2</cp:revision>
  <dcterms:created xsi:type="dcterms:W3CDTF">2026-02-10T08:58:00Z</dcterms:created>
  <dcterms:modified xsi:type="dcterms:W3CDTF">2026-02-10T08:58:00Z</dcterms:modified>
</cp:coreProperties>
</file>