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BYLAWS OF AURELIA DEVELOPMENTS LLC</w:t>
      </w:r>
    </w:p>
    <w:p>
      <w:pPr>
        <w:jc w:val="center"/>
      </w:pPr>
      <w:r>
        <w:t>and Record of Amendments</w:t>
        <w:br/>
        <w:t>Corporate Governance Framework</w:t>
      </w:r>
    </w:p>
    <w:p/>
    <w:p>
      <w:pPr>
        <w:pStyle w:val="Heading1"/>
      </w:pPr>
      <w:r>
        <w:t>1. Introduction and Corporate Governance Framework</w:t>
      </w:r>
    </w:p>
    <w:p>
      <w:r>
        <w:t>These Bylaws (the “Bylaws”) set forth the internal governance framework of Aurelia Developments LLC (the “Company”), a limited liability company incorporated in the Emirate of Dubai, United Arab Emirates. The purpose of these Bylaws is to establish clear governance principles governing the relationship between the Company’s shareholders, Board of Directors, and executive management.</w:t>
      </w:r>
    </w:p>
    <w:p>
      <w:r>
        <w:t>These Bylaws operate in conjunction with the Company’s Memorandum of Association and Articles of Association and are intended to ensure compliance with Federal Law No. 2 of 2015 on Commercial Companies of the United Arab Emirates (as amended), as well as applicable regulations issued by the Dubai Land Department (DLD), Real Estate Regulatory Agency (RERA), and the Dubai Department of Economy and Tourism.</w:t>
      </w:r>
    </w:p>
    <w:p>
      <w:r>
        <w:t>The governance framework established herein is designed to support institutional investment, enhance transparency in decision-making, and ensure effective oversight of the Company’s real estate development activities.</w:t>
      </w:r>
    </w:p>
    <w:p>
      <w:pPr>
        <w:pStyle w:val="Heading1"/>
      </w:pPr>
      <w:r>
        <w:t>2. Shareholder Governance</w:t>
      </w:r>
    </w:p>
    <w:p>
      <w:pPr>
        <w:pStyle w:val="Heading2"/>
      </w:pPr>
      <w:r>
        <w:t>2.1 Shareholder Rights</w:t>
      </w:r>
    </w:p>
    <w:p>
      <w:r>
        <w:t>Shareholders shall exercise rights proportionate to their respective shareholdings in the Company. Such rights include the right to vote on shareholder resolutions, receive distributions of profits, and access corporate information in accordance with applicable laws.</w:t>
      </w:r>
    </w:p>
    <w:p>
      <w:pPr>
        <w:pStyle w:val="Heading2"/>
      </w:pPr>
      <w:r>
        <w:t>2.2 Shareholder Meetings</w:t>
      </w:r>
    </w:p>
    <w:p>
      <w:r>
        <w:t>The Company shall convene an Annual General Meeting (AGM) within four (4) months following the end of each financial year. The AGM shall review financial statements, approve dividend distributions, and appoint directors where required.</w:t>
      </w:r>
    </w:p>
    <w:p>
      <w:pPr>
        <w:pStyle w:val="Heading2"/>
      </w:pPr>
      <w:r>
        <w:t>2.3 Extraordinary Meetings</w:t>
      </w:r>
    </w:p>
    <w:p>
      <w:r>
        <w:t>Extraordinary Shareholder Meetings may be convened by the Board of Directors or upon written request by shareholders representing not less than twenty percent (20%) of the Company’s share capital.</w:t>
      </w:r>
    </w:p>
    <w:p>
      <w:pPr>
        <w:pStyle w:val="Heading2"/>
      </w:pPr>
      <w:r>
        <w:t>2.4 Quorum Requirements</w:t>
      </w:r>
    </w:p>
    <w:p>
      <w:r>
        <w:t>A quorum shall be established when shareholders representing at least seventy-five percent (75%) of the Company’s share capital are present or represented.</w:t>
      </w:r>
    </w:p>
    <w:p>
      <w:pPr>
        <w:pStyle w:val="Heading2"/>
      </w:pPr>
      <w:r>
        <w:t>2.5 Special Resolutions</w:t>
      </w:r>
    </w:p>
    <w:p>
      <w:r>
        <w:t>Special resolutions relating to amendments to the Memorandum of Association, capital restructuring, or sale of material assets shall require approval of shareholders representing not less than seventy-five percent (75%) of the Company’s issued share capital.</w:t>
      </w:r>
    </w:p>
    <w:p>
      <w:pPr>
        <w:pStyle w:val="Heading1"/>
      </w:pPr>
      <w:r>
        <w:t>3. Board of Directors</w:t>
      </w:r>
    </w:p>
    <w:p>
      <w:pPr>
        <w:pStyle w:val="Heading2"/>
      </w:pPr>
      <w:r>
        <w:t>3.1 Composition</w:t>
      </w:r>
    </w:p>
    <w:p>
      <w:r>
        <w:t>The Company shall be governed by a Board of Directors consisting of five (5) to seven (7) members appointed by the shareholders.</w:t>
      </w:r>
    </w:p>
    <w:p>
      <w:pPr>
        <w:pStyle w:val="Heading2"/>
      </w:pPr>
      <w:r>
        <w:t>3.2 Director Qualifications</w:t>
      </w:r>
    </w:p>
    <w:p>
      <w:r>
        <w:t>Directors shall possess professional experience in real estate development, finance, investment management, or corporate governance.</w:t>
      </w:r>
    </w:p>
    <w:p>
      <w:pPr>
        <w:pStyle w:val="Heading2"/>
      </w:pPr>
      <w:r>
        <w:t>3.3 Appointment and Removal</w:t>
      </w:r>
    </w:p>
    <w:p>
      <w:r>
        <w:t>Directors shall be appointed by shareholder resolution and shall serve renewable three-year terms. Shareholders representing at least twenty percent (20%) of share capital shall have the right to nominate a director.</w:t>
      </w:r>
    </w:p>
    <w:p>
      <w:pPr>
        <w:pStyle w:val="Heading2"/>
      </w:pPr>
      <w:r>
        <w:t>3.4 Responsibilities of the Board</w:t>
      </w:r>
    </w:p>
    <w:p>
      <w:pPr>
        <w:pStyle w:val="ListBullet"/>
      </w:pPr>
      <w:r>
        <w:t>Approval of major development projects</w:t>
      </w:r>
    </w:p>
    <w:p>
      <w:pPr>
        <w:pStyle w:val="ListBullet"/>
      </w:pPr>
      <w:r>
        <w:t>Approval of land acquisitions and joint venture agreements</w:t>
      </w:r>
    </w:p>
    <w:p>
      <w:pPr>
        <w:pStyle w:val="ListBullet"/>
      </w:pPr>
      <w:r>
        <w:t>Approval of capital raising and financing arrangements</w:t>
      </w:r>
    </w:p>
    <w:p>
      <w:pPr>
        <w:pStyle w:val="ListBullet"/>
      </w:pPr>
      <w:r>
        <w:t>Strategic oversight of development pipeline</w:t>
      </w:r>
    </w:p>
    <w:p>
      <w:pPr>
        <w:pStyle w:val="ListBullet"/>
      </w:pPr>
      <w:r>
        <w:t>Approval of annual budgets and business plans</w:t>
      </w:r>
    </w:p>
    <w:p>
      <w:pPr>
        <w:pStyle w:val="Heading1"/>
      </w:pPr>
      <w:r>
        <w:t>4. Committees of the Board</w:t>
      </w:r>
    </w:p>
    <w:p>
      <w:pPr>
        <w:pStyle w:val="Heading2"/>
      </w:pPr>
      <w:r>
        <w:t>4.1 Audit Committee</w:t>
      </w:r>
    </w:p>
    <w:p>
      <w:r>
        <w:t>The Audit Committee shall oversee financial reporting, internal controls, and the integrity of the Company’s financial statements.</w:t>
      </w:r>
    </w:p>
    <w:p>
      <w:pPr>
        <w:pStyle w:val="Heading2"/>
      </w:pPr>
      <w:r>
        <w:t>4.2 Development and Investment Committee</w:t>
      </w:r>
    </w:p>
    <w:p>
      <w:r>
        <w:t>This committee shall review and approve proposed real estate developments, land acquisitions, and project financing structures.</w:t>
      </w:r>
    </w:p>
    <w:p>
      <w:pPr>
        <w:pStyle w:val="Heading2"/>
      </w:pPr>
      <w:r>
        <w:t>4.3 Risk and Compliance Committee</w:t>
      </w:r>
    </w:p>
    <w:p>
      <w:r>
        <w:t>The Risk and Compliance Committee shall oversee regulatory compliance, risk management policies, and adherence to RERA and Dubai Land Department regulations.</w:t>
      </w:r>
    </w:p>
    <w:p>
      <w:pPr>
        <w:pStyle w:val="Heading1"/>
      </w:pPr>
      <w:r>
        <w:t>5. Executive Management</w:t>
      </w:r>
    </w:p>
    <w:p>
      <w:r>
        <w:rPr>
          <w:b/>
        </w:rPr>
        <w:t xml:space="preserve">Chief Executive Officer: </w:t>
      </w:r>
      <w:r>
        <w:t>Responsible for overall strategic leadership and execution of the Company’s development strategy.</w:t>
      </w:r>
    </w:p>
    <w:p>
      <w:r>
        <w:rPr>
          <w:b/>
        </w:rPr>
        <w:t xml:space="preserve">Chief Financial Officer: </w:t>
      </w:r>
      <w:r>
        <w:t>Responsible for financial planning, capital structure management, and investor reporting.</w:t>
      </w:r>
    </w:p>
    <w:p>
      <w:r>
        <w:rPr>
          <w:b/>
        </w:rPr>
        <w:t xml:space="preserve">Head of Development: </w:t>
      </w:r>
      <w:r>
        <w:t>Responsible for oversight of project development, construction timelines, and coordination with contractors.</w:t>
      </w:r>
    </w:p>
    <w:p>
      <w:pPr>
        <w:pStyle w:val="Heading1"/>
      </w:pPr>
      <w:r>
        <w:t>6. Decision-Making Authority</w:t>
      </w:r>
    </w:p>
    <w:p>
      <w:pPr>
        <w:pStyle w:val="ListBullet"/>
      </w:pPr>
      <w:r>
        <w:t>Board approval required for development projects exceeding AED 300 million.</w:t>
      </w:r>
    </w:p>
    <w:p>
      <w:pPr>
        <w:pStyle w:val="ListBullet"/>
      </w:pPr>
      <w:r>
        <w:t>Board approval required for project financing exceeding AED 500 million.</w:t>
      </w:r>
    </w:p>
    <w:p>
      <w:pPr>
        <w:pStyle w:val="ListBullet"/>
      </w:pPr>
      <w:r>
        <w:t>Shareholder approval required for asset sales exceeding AED 750 million.</w:t>
      </w:r>
    </w:p>
    <w:p>
      <w:pPr>
        <w:pStyle w:val="Heading1"/>
      </w:pPr>
      <w:r>
        <w:t>7. Conflict of Interest Policy</w:t>
      </w:r>
    </w:p>
    <w:p>
      <w:r>
        <w:t>Directors and senior executives shall disclose any personal or financial interest in transactions involving the Company. Related-party transactions must be reviewed by the Audit Committee and approved by disinterested members of the Board.</w:t>
      </w:r>
    </w:p>
    <w:p>
      <w:pPr>
        <w:pStyle w:val="Heading1"/>
      </w:pPr>
      <w:r>
        <w:t>8. Corporate Records and Reporting</w:t>
      </w:r>
    </w:p>
    <w:p>
      <w:r>
        <w:t>The Company shall maintain accurate corporate records including shareholder registers, board resolutions, and financial statements. Annual financial statements shall be audited by an independent auditor.</w:t>
      </w:r>
    </w:p>
    <w:p>
      <w:pPr>
        <w:pStyle w:val="Heading1"/>
      </w:pPr>
      <w:r>
        <w:t>9. Amendment Process</w:t>
      </w:r>
    </w:p>
    <w:p>
      <w:r>
        <w:t>These Bylaws may be amended by resolution of the Board of Directors and approval of shareholders representing at least seventy-five percent (75%) of the Company’s issued share capital.</w:t>
      </w:r>
    </w:p>
    <w:p>
      <w:pPr>
        <w:pStyle w:val="Heading1"/>
      </w:pPr>
      <w:r>
        <w:t>10. Record of Amendments</w:t>
      </w:r>
    </w:p>
    <w:p>
      <w:r>
        <w:rPr>
          <w:b/>
        </w:rPr>
        <w:t xml:space="preserve">2018: </w:t>
      </w:r>
      <w:r>
        <w:t>Board size expanded from five to seven members to support growth of development pipeline.</w:t>
      </w:r>
    </w:p>
    <w:p>
      <w:r>
        <w:rPr>
          <w:b/>
        </w:rPr>
        <w:t xml:space="preserve">2020: </w:t>
      </w:r>
      <w:r>
        <w:t>Investor board representation introduced following capital investment by Meridian Global Real Estate Ltd.</w:t>
      </w:r>
    </w:p>
    <w:p>
      <w:r>
        <w:rPr>
          <w:b/>
        </w:rPr>
        <w:t xml:space="preserve">2023: </w:t>
      </w:r>
      <w:r>
        <w:t>Governance oversight strengthened to support international capital raising and expansion of branded residence developments.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